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29.08.2026  |  6 Studien  |  gender.m-vf.de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Blutdruckvariabilität bei Intensivpatienten: Frauen mit höherer Instabilität und Mortalitätsrisiko</w:t>
      </w:r>
    </w:p>
    <w:p>
      <w:r>
        <w:rPr>
          <w:i/>
          <w:color w:val="666666"/>
          <w:sz w:val="18"/>
        </w:rPr>
        <w:t>Ng PY et al.  ·  Open Heart  ·  28.08.2026  ·  PMID 42665291</w:t>
      </w:r>
    </w:p>
    <w:p>
      <w:r>
        <w:t>Hongkonger ICU-Kohorte mit 11.153 Aufnahmen (39,4% Frauen), Analyse von Blutdruckvariabilität und Outcome-Unterschieden zwischen Geschlechtern.</w:t>
      </w:r>
    </w:p>
    <w:p>
      <w:r>
        <w:rPr>
          <w:b/>
        </w:rPr>
        <w:t xml:space="preserve">Ergebnis: </w:t>
      </w:r>
      <w:r>
        <w:t>Frauen zeigten höhere Variabilität in mittlerem arteriellen Druck (8,2% vs. 8,2%, adjustiert p=0,03) und diastolisch (9,3% vs. 9,1%, adjustiert p&lt;0,001). Jedes Prozent MAP-Variabilität war assoziiert mit 12% höheren Odds für ICU-Mortalität; dieser Effekt war geschlechtsspezifisch modifiziert (p=0,024).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USA-ähnliches System, physiologischer Befund jedoch systemübergreifend relevant</w:t>
      </w:r>
    </w:p>
    <w:p>
      <w:r>
        <w:rPr>
          <w:color w:val="5A7D3A"/>
          <w:sz w:val="18"/>
        </w:rPr>
        <w:t>https://pubmed.ncbi.nlm.nih.gov/42665291/</w:t>
      </w:r>
    </w:p>
    <w:p>
      <w:pPr>
        <w:pStyle w:val="Heading2"/>
      </w:pPr>
      <w:r>
        <w:t>Müttersterblichkeit in Mexiko: Geschlecht und Ethnizität prägen Kontinuum-Lücken</w:t>
      </w:r>
    </w:p>
    <w:p>
      <w:r>
        <w:rPr>
          <w:i/>
          <w:color w:val="666666"/>
          <w:sz w:val="18"/>
        </w:rPr>
        <w:t>Suárez-López L et al.  ·  Cad Saude Publica  ·  21.08.2026  ·  PMID 42659432</w:t>
      </w:r>
    </w:p>
    <w:p>
      <w:r>
        <w:t>Mexikanische Querschnittstudie mit 2.846 kürzlich entbundenen Frauen zur Ungleichheit in Müttergesundheitsversorgung nach Statusgruppen (Konzentrations-Index-Dekomposition).</w:t>
      </w:r>
    </w:p>
    <w:p>
      <w:r>
        <w:rPr>
          <w:b/>
        </w:rPr>
        <w:t xml:space="preserve">Ergebnis: </w:t>
      </w:r>
      <w:r>
        <w:t>Kontinuum-Versorgung erreicht 37,3% (95% CI 34,6–40,1). Soziale Sicherheit (OR 1,37, 95% CI 1,1–1,8), Nicht-Indigene (OR 2,08, 95% CI 1,2–3,6) und präpandemisch (OR 1,84, 95% CI 1,4–2,4) waren begünstigend. Haupttreiber der Ungleichheit: Nicht-Indigene Status (30%), Sozialversicherung (31,1%), Zeit (9,6%). Konzentrations-Index 0,098 (p&lt;0,05), pro-reich.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andere Sozialversicherung; Erklärmuster für Zugangsbarrieren aber übertragbar</w:t>
      </w:r>
    </w:p>
    <w:p>
      <w:r>
        <w:rPr>
          <w:color w:val="5A7D3A"/>
          <w:sz w:val="18"/>
        </w:rPr>
        <w:t>https://pubmed.ncbi.nlm.nih.gov/42659432/</w:t>
      </w:r>
    </w:p>
    <w:p>
      <w:pPr>
        <w:pStyle w:val="Heading2"/>
      </w:pPr>
      <w:r>
        <w:t>LGBTI-Gesundheitskompetenz von Hausärztinnen: RCT eines E-Learning-Programms in der Schweiz</w:t>
      </w:r>
    </w:p>
    <w:p>
      <w:r>
        <w:rPr>
          <w:i/>
          <w:color w:val="666666"/>
          <w:sz w:val="18"/>
        </w:rPr>
        <w:t>Bergonzoli K et al.  ·  BMJ Open  ·  04.08.2026  ·  PMID 42552009</w:t>
      </w:r>
    </w:p>
    <w:p>
      <w:r>
        <w:t>Schweizer RCT mit Hausärztinnen (französischsprachig) zur Wirksamkeit von I-CARE-E-Learning auf Wissen, Haltung und Verhalten gegenüber LGBTI-Patienten, Vergleich mit Motivational-Interviewing-Kontrolle.</w:t>
      </w:r>
    </w:p>
    <w:p>
      <w:r>
        <w:rPr>
          <w:b/>
        </w:rPr>
        <w:t xml:space="preserve">Ergebnis: </w:t>
      </w:r>
      <w:r>
        <w:t>Primäre Outcomes (Wissen und Haltung) werden gemessen sofort nach Intervention und 3 Monate später. Studiendesign: 1:1 Randomisierung, Überlegenheitsprüfung. Sekundär: Fertigkeiten, Selbstbericht und Umgebungsfaktoren. Ergebnisse noch nicht berichtet (Protokoll).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DACH-vergleichbar, Implementierungs-Forschung für deutschsprachigen Raum relevant</w:t>
      </w:r>
    </w:p>
    <w:p>
      <w:r>
        <w:rPr>
          <w:color w:val="5A7D3A"/>
          <w:sz w:val="18"/>
        </w:rPr>
        <w:t>https://pubmed.ncbi.nlm.nih.gov/42552009/</w:t>
      </w:r>
    </w:p>
    <w:p>
      <w:pPr>
        <w:pStyle w:val="Heading2"/>
      </w:pPr>
      <w:r>
        <w:t>Geschlechtsspezifische Unterschiede bei Herzstillstand: Behandlung oder Vorbedingungen?</w:t>
      </w:r>
    </w:p>
    <w:p>
      <w:r>
        <w:rPr>
          <w:i/>
          <w:color w:val="666666"/>
          <w:sz w:val="18"/>
        </w:rPr>
        <w:t>Osmundsen SL et al.  ·  Resuscitation  ·  26.06.2026  ·  PMID 42361889</w:t>
      </w:r>
    </w:p>
    <w:p>
      <w:r>
        <w:t>Norwegische Registerstudie mit 27.621 Fällen außerklinischer Reanimationen 2015-2024, Untersuchung von Geschlechtsspezifika in Behandlung und Überleben.</w:t>
      </w:r>
    </w:p>
    <w:p>
      <w:r>
        <w:rPr>
          <w:b/>
        </w:rPr>
        <w:t xml:space="preserve">Ergebnis: </w:t>
      </w:r>
      <w:r>
        <w:t>Frauen unterschieden sich in Arrest-Lokalisation und Rhythmus von Männern. Behandlungsunterschiede bei CPR-Dauer und Medikation waren nicht geschlechtsspezifisch motiviert. Frauen zeigten höhere Odds für unmittelbares Überleben (signifikant), aber niedrigeres 30-Tage-Überleben – ungeklärt durch gemessene Variablen (OR nicht quantifiziert, p-Wert nicht angegeben).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Notfall-Register mit standardisierter Dokumentation, EU-vergleichbar</w:t>
      </w:r>
    </w:p>
    <w:p>
      <w:r>
        <w:rPr>
          <w:color w:val="5A7D3A"/>
          <w:sz w:val="18"/>
        </w:rPr>
        <w:t>https://pubmed.ncbi.nlm.nih.gov/42361889/</w:t>
      </w:r>
    </w:p>
    <w:p>
      <w:pPr>
        <w:pStyle w:val="Heading2"/>
      </w:pPr>
      <w:r>
        <w:t>Rauchen in Lettland: Geschlechtsspezifische Trends und Bildungseffekt 2009–2019</w:t>
      </w:r>
    </w:p>
    <w:p>
      <w:r>
        <w:rPr>
          <w:i/>
          <w:color w:val="666666"/>
          <w:sz w:val="18"/>
        </w:rPr>
        <w:t>Apinis P et al.  ·  Medicina (Kaunas)  ·  22.06.2026  ·  PMID 42356212</w:t>
      </w:r>
    </w:p>
    <w:p>
      <w:r>
        <w:t>Populationsbasierte Querschnittstudie mit 3.807 (2009) und 4.070 (2019) Erwachsenen, Analyse geschlechtergetrennter Rauchtrendtrends und Prädiktoren.</w:t>
      </w:r>
    </w:p>
    <w:p>
      <w:r>
        <w:rPr>
          <w:b/>
        </w:rPr>
        <w:t xml:space="preserve">Ergebnis: </w:t>
      </w:r>
      <w:r>
        <w:t>Rauchen sank bei Männern (43,6% → 36,0%, p&lt;0,01), stieg bei Frauen (15,0% → 18,1%, p&lt;0,01). Höhere Bildung schützend für beide: Männer OR 0,48 (95% CI 0,38–0,59), Frauen OR 0,39 (95% CI 0,29–0,50). Körperliche Aktivität nicht unabhängig prädiktiv.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Baltischer EU-Staat, ähnliche Datenstruktur, europäische Gesundheitssysteme vergleichbar</w:t>
      </w:r>
    </w:p>
    <w:p>
      <w:r>
        <w:rPr>
          <w:color w:val="5A7D3A"/>
          <w:sz w:val="18"/>
        </w:rPr>
        <w:t>https://pubmed.ncbi.nlm.nih.gov/42356212/</w:t>
      </w:r>
    </w:p>
    <w:p>
      <w:pPr>
        <w:pStyle w:val="Heading2"/>
      </w:pPr>
      <w:r>
        <w:t>Elektrokonvulsivtherapie bei Depression: Geschlechtsspezifische Ansprechbarkeit und Prädiktoren</w:t>
      </w:r>
    </w:p>
    <w:p>
      <w:r>
        <w:rPr>
          <w:i/>
          <w:color w:val="666666"/>
          <w:sz w:val="18"/>
        </w:rPr>
        <w:t>Blanken MAJT et al.  ·  J Affect Disord  ·  15.11.2026  ·  PMID 42341945</w:t>
      </w:r>
    </w:p>
    <w:p>
      <w:r>
        <w:t>Niederländisches Konsortium (Dutch ECT Consortium) mit 1.892 Patienten (1.210 Frauen), Analyse geschlechtsspezifischer Prädiktoren für Remission nach EKT.</w:t>
      </w:r>
    </w:p>
    <w:p>
      <w:r>
        <w:rPr>
          <w:b/>
        </w:rPr>
        <w:t xml:space="preserve">Ergebnis: </w:t>
      </w:r>
      <w:r>
        <w:t>Remissionsrate insgesamt gleich zwischen Geschlechtern (p=0,17). Signifikante Interaktion: Bei Männern nahm Remission mit längerer Episodendauer ab, bei Frauen blieb sie stabil. Frauen mit vorheriger Psychotherapie zeigten niedrigere Remissionsraten als Männer (Größenordnung: moderat, p&lt;0,05 für Interaktionen).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Spezialisierte Versorgung, deutsches System ähnlich strukturiert</w:t>
      </w:r>
    </w:p>
    <w:p>
      <w:r>
        <w:rPr>
          <w:color w:val="5A7D3A"/>
          <w:sz w:val="18"/>
        </w:rPr>
        <w:t>https://pubmed.ncbi.nlm.nih.gov/42341945/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