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04.09.2026  |  6 Studien  |  gender.m-vf.de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Ernährungsvielfalt verbessert Handgriffstärke – aber unterschiedlich nach Geschlecht</w:t>
      </w:r>
    </w:p>
    <w:p>
      <w:r>
        <w:rPr>
          <w:i/>
          <w:color w:val="666666"/>
          <w:sz w:val="18"/>
        </w:rPr>
        <w:t>Chu X et al.  ·  Front Public Health  ·  18.08.2026  ·  PMID 42682463</w:t>
      </w:r>
    </w:p>
    <w:p>
      <w:r>
        <w:t>Querschnittstudie mit 1.613 älteren Erwachsenen (≥60 Jahre) in China zur Mediatorfunktion von Harnsäure in der Assoziation zwischen Ernährungsvielfalt und Muskelkraft, stratifiziert nach Geschlecht.</w:t>
      </w:r>
    </w:p>
    <w:p>
      <w:r>
        <w:rPr>
          <w:b/>
        </w:rPr>
        <w:t xml:space="preserve">Ergebnis: </w:t>
      </w:r>
      <w:r>
        <w:t>Höhere Ernährungsvielfalt mit höherer Handgriffstärke assoziiert (β = 0,366). Harnsäure mediierte diesen Effekt nur bei Männern (9,22% des Gesamteffekts auf relative Handgriffstärke), nicht bei Frauen. Bei Männern mit Harnsäure &gt;363 μmol/L signifikanter negativer Effekt auf Muskelkraft, bei Frauen nicht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Mechanismus (Harnsäure-Metabolismus) biologisch grundlegend; Geschlechtsspezifität klinisch bedeutsam</w:t>
      </w:r>
    </w:p>
    <w:p>
      <w:r>
        <w:rPr>
          <w:color w:val="5A7D3A"/>
          <w:sz w:val="18"/>
        </w:rPr>
        <w:t>https://pubmed.ncbi.nlm.nih.gov/42682463/</w:t>
      </w:r>
    </w:p>
    <w:p>
      <w:pPr>
        <w:pStyle w:val="Heading2"/>
      </w:pPr>
      <w:r>
        <w:t>Geschlechtsangleichende Brustoperation verbessert Geschlechtsdysphorie deutlich</w:t>
      </w:r>
    </w:p>
    <w:p>
      <w:r>
        <w:rPr>
          <w:i/>
          <w:color w:val="666666"/>
          <w:sz w:val="18"/>
        </w:rPr>
        <w:t>Jacobi M et al.  ·  J Plast Reconstr Aesthet Surg  ·  10.05.2026  ·  PMID 42401040</w:t>
      </w:r>
    </w:p>
    <w:p>
      <w:r>
        <w:t>Mixed-Methods-Studie mit 13 Patienten untersucht deutsche Übersetzung und klinische Anwendbarkeit des GENDER-Q zur Messung von Outcome nach masculinizing chest surgery.</w:t>
      </w:r>
    </w:p>
    <w:p>
      <w:r>
        <w:rPr>
          <w:b/>
        </w:rPr>
        <w:t xml:space="preserve">Ergebnis: </w:t>
      </w:r>
      <w:r>
        <w:t>Postoperativ signifikante Verbesserungen in allen Domains: Brusterscheinung (Mittelwert 64,23 Punkte, standardized response mean 3,59), Körperbild (36,85 Punkte, SRM 1,59), Geschlechtsdysphorie (23,08 Punkte, SRM 1,64), psychische Belastung (26,84 Punkte, SRM 2,04; alle p &lt; 0,013). Zufriedenheit mit Versorgungserlebnis bereits baseline hoch (87,6–94,3), stabil. Instrument zeigt gute sprachliche und konzeptuelle Äquivalenz.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klinisches Versorgungsprogramm; kleine Pilotstudie, aber direkter Relevanzbezug</w:t>
      </w:r>
    </w:p>
    <w:p>
      <w:r>
        <w:rPr>
          <w:color w:val="5A7D3A"/>
          <w:sz w:val="18"/>
        </w:rPr>
        <w:t>https://pubmed.ncbi.nlm.nih.gov/42401040/</w:t>
      </w:r>
    </w:p>
    <w:p>
      <w:pPr>
        <w:pStyle w:val="Heading2"/>
      </w:pPr>
      <w:r>
        <w:t>Bauchfett und Hirnstoffwechsel bei Frauen stärker gefährdet als bei Männern</w:t>
      </w:r>
    </w:p>
    <w:p>
      <w:r>
        <w:rPr>
          <w:i/>
          <w:color w:val="666666"/>
          <w:sz w:val="18"/>
        </w:rPr>
        <w:t>Sandforth L et al.  ·  Diabetologia  ·  03.07.2026  ·  PMID 42399494</w:t>
      </w:r>
    </w:p>
    <w:p>
      <w:r>
        <w:t>Studie untersucht die Geschlechtsspezifität von Körperfettverteilung als Prädiktor für die Insulinempfindlichkeit des Hippocampus im Alter mit Daten von 260 Personen.</w:t>
      </w:r>
    </w:p>
    <w:p>
      <w:r>
        <w:rPr>
          <w:b/>
        </w:rPr>
        <w:t xml:space="preserve">Ergebnis: </w:t>
      </w:r>
      <w:r>
        <w:t>Bei älteren Frauen war eine ungünstige Fettverteilung (erhöhtes Waist-to-Hip-Ratio, viscerale Fettmasse, intrahepatische Lipide) signifikant mit geringerer Hippocampus-Insulinresponsivität assoziiert (alle p &lt; 0,05); Effekt stärker postmenopausal. Bei Männern keine signifikanten Assoziationen von Fettverteilung mit Hippocampus-Insulinempfindlichkeit. Befund weist auf geschlechtsspezifische Mekanismen der Diabetesentstehung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 gemessene Stoffwechselvariablen, aber kleine US-Population</w:t>
      </w:r>
    </w:p>
    <w:p>
      <w:r>
        <w:rPr>
          <w:color w:val="5A7D3A"/>
          <w:sz w:val="18"/>
        </w:rPr>
        <w:t>https://pubmed.ncbi.nlm.nih.gov/42399494/</w:t>
      </w:r>
    </w:p>
    <w:p>
      <w:pPr>
        <w:pStyle w:val="Heading2"/>
      </w:pPr>
      <w:r>
        <w:t>Körperliche Aktivität wird bei Kindern durch unterschiedliche genetische Faktoren beeinflusst</w:t>
      </w:r>
    </w:p>
    <w:p>
      <w:r>
        <w:rPr>
          <w:i/>
          <w:color w:val="666666"/>
          <w:sz w:val="18"/>
        </w:rPr>
        <w:t>Helgadóttir B et al.  ·  Sci Rep  ·  10.06.2026  ·  PMID 42271163</w:t>
      </w:r>
    </w:p>
    <w:p>
      <w:r>
        <w:t>Zwillingsstudie mit 2.046 schwedischen 9-Jährigen untersucht geschlechtsspezifische genetische und Umwelteinflüsse auf Bewegungsaktivität und Sitzzeit mit Beschleunigungsmesser.</w:t>
      </w:r>
    </w:p>
    <w:p>
      <w:r>
        <w:rPr>
          <w:b/>
        </w:rPr>
        <w:t xml:space="preserve">Ergebnis: </w:t>
      </w:r>
      <w:r>
        <w:t>Bei Jungen: Genetik dominiert vigorous PA (heritability 0,57), bei Mädchen light PA (heritability 0,44); für vigorous PA signifikanter Unterschied zwischen Geschlechtern (p = 0,001). Geteilte Umwelteffekte zeigen inverses Muster zu genetischen. Befund unterstreicht geschlechtsspezifische biologische Mechanismen der Aktivitätsmuster.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hohe Datenqualität, aber Grundlagenbefund zu biologischen Einflussfaktoren</w:t>
      </w:r>
    </w:p>
    <w:p>
      <w:r>
        <w:rPr>
          <w:color w:val="5A7D3A"/>
          <w:sz w:val="18"/>
        </w:rPr>
        <w:t>https://pubmed.ncbi.nlm.nih.gov/42271163/</w:t>
      </w:r>
    </w:p>
    <w:p>
      <w:pPr>
        <w:pStyle w:val="Heading2"/>
      </w:pPr>
      <w:r>
        <w:t>Migräne erhöht nach der Menopause das Schlaganfallrisiko</w:t>
      </w:r>
    </w:p>
    <w:p>
      <w:r>
        <w:rPr>
          <w:i/>
          <w:color w:val="666666"/>
          <w:sz w:val="18"/>
        </w:rPr>
        <w:t>Madsen TE et al.  ·  Neurology  ·  14.07.2026  ·  PMID 42247650</w:t>
      </w:r>
    </w:p>
    <w:p>
      <w:r>
        <w:t>Kohortenstudie mit 130.277 postmenopausalen Frauen der Women's Health Initiative über 19,9 Jahre zum Zusammenhang von Migräneanamnese und Schlaganfallrisiko.</w:t>
      </w:r>
    </w:p>
    <w:p>
      <w:r>
        <w:rPr>
          <w:b/>
        </w:rPr>
        <w:t xml:space="preserve">Ergebnis: </w:t>
      </w:r>
      <w:r>
        <w:t>Frauen mit Migräneanamnese hatten 12% höhere Rate für ischämische Schlaganfälle (HR 1,12, 95% KI 1,02–1,23); kein Unterschied bei hämorrhagischen Schlaganfällen oder Gesamtschlaganfällen. Stärkste Assoziation in der Subgruppe cardioembolic stroke (HR 1,17). Risiko variierte nicht signifikant nach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 unabhängig von Zugangshürden; postmenopausale Frauen international vergleichbar</w:t>
      </w:r>
    </w:p>
    <w:p>
      <w:r>
        <w:rPr>
          <w:color w:val="5A7D3A"/>
          <w:sz w:val="18"/>
        </w:rPr>
        <w:t>https://pubmed.ncbi.nlm.nih.gov/42247650/</w:t>
      </w:r>
    </w:p>
    <w:p>
      <w:pPr>
        <w:pStyle w:val="Heading2"/>
      </w:pPr>
      <w:r>
        <w:t>Adrenarche-Hormone schützen nur Jungen vor psychischen Symptomen</w:t>
      </w:r>
    </w:p>
    <w:p>
      <w:r>
        <w:rPr>
          <w:i/>
          <w:color w:val="666666"/>
          <w:sz w:val="18"/>
        </w:rPr>
        <w:t>Weisner FE et al.  ·  Transl Psychiatry  ·  04.06.2026  ·  PMID 42243081</w:t>
      </w:r>
    </w:p>
    <w:p>
      <w:r>
        <w:t>Längsschnittstudie der ABCD-Kohorte (n bis 11.696) prüft, ob DHEA in der Frühadoleszenz sexusspezifische Vorhersagekraft für Externalizing- und Internalizing-Symptome hat.</w:t>
      </w:r>
    </w:p>
    <w:p>
      <w:r>
        <w:rPr>
          <w:b/>
        </w:rPr>
        <w:t xml:space="preserve">Ergebnis: </w:t>
      </w:r>
      <w:r>
        <w:t>Bei Jungen: höheres DHEA mit weniger Externalizing-Symptomen assoziiert (β = –0,07 SD pro SD-Anstieg log-DHEA bei 3-Jahr-Nachverfolgung, 95% KI –0,10 bis –0,04) und geringerem klinischen Externalizing-Threshold (adjustierte RR = 0,81, 95% KI 0,70–0,93). Bei Mädchen: keine Hormon-Symptom-Assoziation. Befund deute auf geschlechtsspezifische hormonelle Verwundbarkeitsfenster in Adoleszenz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biologischer Hormoneffekt grundsätzlich übertragbar; Geschlechtsspezifität klinisch relevant</w:t>
      </w:r>
    </w:p>
    <w:p>
      <w:r>
        <w:rPr>
          <w:color w:val="5A7D3A"/>
          <w:sz w:val="18"/>
        </w:rPr>
        <w:t>https://pubmed.ncbi.nlm.nih.gov/42243081/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