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13.10.2026  |  6 Studien  |  gender.m-vf.de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Angeborene Syphilis und mütterliche psychische Erkrankungen: Versorgungslücke bei Risikoidentifikation</w:t>
      </w:r>
    </w:p>
    <w:p>
      <w:r>
        <w:rPr>
          <w:i/>
          <w:color w:val="666666"/>
          <w:sz w:val="18"/>
        </w:rPr>
        <w:t>Onwubiko UN et al.  ·  Sex Transm Dis  ·  01.11.2026  ·  PMID 42861562</w:t>
      </w:r>
    </w:p>
    <w:p>
      <w:r>
        <w:t>Analyse von 1.684 Syphilis-betroffenen Schwangerschaften aus Georgia-STI-Überwachungsdaten (2018–2023) zur Assoziation zwischen dokumentierten mütterlichen psychischen Erkrankungen vor der Geburt und Angeborener Syphilis, mit Berücksichtigung des Haushaltes als Proxy für soziale Unterstützung.</w:t>
      </w:r>
    </w:p>
    <w:p>
      <w:r>
        <w:rPr>
          <w:b/>
        </w:rPr>
        <w:t xml:space="preserve">Ergebnis: </w:t>
      </w:r>
      <w:r>
        <w:t>416 Schwangerschaften (25 %) resultierten in angeborener Syphilis. Mütterliche psychische Erkrankungen waren bei 4 % dokumentiert und assoziiert mit höherer Prävalenz angeborener Syphilis (adjustierte PR: 1,5; 95 %-KI: 1,1–2,1). Bei Frauen mit Familienunterstützung war die Assoziation abgeschwächt (adjustierte PR: 1,18; 95 %-KI: 0,57–2,47) vs. alleinlebend/mit Nicht-Familienmitgliedern (adjustierte PR: 1,42; 95 %-KI: 0,70–2,90). Die Bias-adjustierte Analyse deutet auf stärkere Assoziation hin, aber mit erheblicher Unsicherheit.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 mit anderen Zugangsbarrieren, aber Versorgungslücken-Mechanismus übertragbar</w:t>
      </w:r>
    </w:p>
    <w:p>
      <w:r>
        <w:rPr>
          <w:color w:val="5A7D3A"/>
          <w:sz w:val="18"/>
        </w:rPr>
        <w:t>https://pubmed.ncbi.nlm.nih.gov/42861562/</w:t>
      </w:r>
    </w:p>
    <w:p>
      <w:pPr>
        <w:pStyle w:val="Heading2"/>
      </w:pPr>
      <w:r>
        <w:t>Normalisierung von Alkoholkonsum bei sexuellen Minderheiten: Häufigeres Trinken mit Peers verstärkt wahrgenommene Trinkkultur</w:t>
      </w:r>
    </w:p>
    <w:p>
      <w:r>
        <w:rPr>
          <w:i/>
          <w:color w:val="666666"/>
          <w:sz w:val="18"/>
        </w:rPr>
        <w:t>Edison HA et al.  ·  Alcohol Clin Exp Res (Hoboken)  ·  Okt. 2026  ·  PMID 42860560</w:t>
      </w:r>
    </w:p>
    <w:p>
      <w:r>
        <w:t>Längsschnittstudie mit 409 sexuellen Minderheits- und Genderdiverse-Personen weiblich zugeordnet (18–25 Jahre) zur Assoziation zwischen Häufigkeit des Alkohol- und Cannabisgebrauchs mit ähnlichen Personen und wahrgenommenen Normen in dieser Gruppe (Baseline, Follow-up und 30-Tage-EMA).</w:t>
      </w:r>
    </w:p>
    <w:p>
      <w:r>
        <w:rPr>
          <w:b/>
        </w:rPr>
        <w:t xml:space="preserve">Ergebnis: </w:t>
      </w:r>
      <w:r>
        <w:t>Häufigeres Trinken mit anderen sexuellen Minderheits- und Genderdiverse-Personen während der EMA-Phase war querschnittlich mit höherer wahrgenommener Trinkfrequenz bei Baseline assoziiert und sagte Anstieg der wahrgenommenen Trinkfrequenz von Baseline zu Follow-up voraus. Für Cannabisgebrauch zeigten sich keine signifikanten Assoziationen mit Norm-Wahrnehmung.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Kanada/USA, Mechanismus der Norm-Bildung übertragbar, aber Substanzpreise/Verfügbarkeit unterscheiden sich</w:t>
      </w:r>
    </w:p>
    <w:p>
      <w:r>
        <w:rPr>
          <w:color w:val="5A7D3A"/>
          <w:sz w:val="18"/>
        </w:rPr>
        <w:t>https://pubmed.ncbi.nlm.nih.gov/42860560/</w:t>
      </w:r>
    </w:p>
    <w:p>
      <w:pPr>
        <w:pStyle w:val="Heading2"/>
      </w:pPr>
      <w:r>
        <w:t>Psychische Erkrankungen bei trans und genderdiverse Erwachsenen: Gepoolte Prävalenzen aus 207 Studien mit 134.071 Teilnehmenden</w:t>
      </w:r>
    </w:p>
    <w:p>
      <w:r>
        <w:rPr>
          <w:i/>
          <w:color w:val="666666"/>
          <w:sz w:val="18"/>
        </w:rPr>
        <w:t>Symes ER et al.  ·  Psychol Med  ·  08.10.2026  ·  PMID 42847484</w:t>
      </w:r>
    </w:p>
    <w:p>
      <w:r>
        <w:t>Systematischer Review mit Meta-Analyse von 207 Studien (134.071 trans und genderdiverse Teilnehmende aus 52 Ländern) zur Prävalenz psychischer Störungen, Suizidalität und Nicht-Suizidalen Selbstverletzungen bei erwachsenen trans und genderdiverse Personen..</w:t>
      </w:r>
    </w:p>
    <w:p>
      <w:r>
        <w:rPr>
          <w:b/>
        </w:rPr>
        <w:t xml:space="preserve">Ergebnis: </w:t>
      </w:r>
      <w:r>
        <w:t>Gepoolte Prävalenzschätzungen: Depression 40,1 % (95 %-KI: 35,6–44,8), Angststörungen 29,8 % (95 %-KI: 20,3–40,2), PTSD 23,6 % (95 %-KI: 14,9–33,5); Suizidgedanken in den letzten 12 Monaten 43,1 % (95 %-KI: 38,9–47,3), Suizidversuche 9,3 % (95 %-KI: 7,7–11,0), Nicht-Suizidale Selbstverletzungen 26,1 % (95 %-KI: 20,4–32,2). Prävalenzen waren bei nicht-binären Personen tendenziell höher; erhebliche Variation nach Messmethode, Rekrutierungsort und geografischer Region.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einschließlich europäischer Daten, Versorgungsbedarf in Deutschland evident</w:t>
      </w:r>
    </w:p>
    <w:p>
      <w:r>
        <w:rPr>
          <w:color w:val="5A7D3A"/>
          <w:sz w:val="18"/>
        </w:rPr>
        <w:t>https://pubmed.ncbi.nlm.nih.gov/42847484/</w:t>
      </w:r>
    </w:p>
    <w:p>
      <w:pPr>
        <w:pStyle w:val="Heading2"/>
      </w:pPr>
      <w:r>
        <w:t>Körperzusammensetzung nach Lebertransplantation: Sex-spezifische Cutoffs verbessern Überlebensprognose</w:t>
      </w:r>
    </w:p>
    <w:p>
      <w:r>
        <w:rPr>
          <w:i/>
          <w:color w:val="666666"/>
          <w:sz w:val="18"/>
        </w:rPr>
        <w:t>Schliephake F et al.  ·  Ann Surg  ·  01.11.2026  ·  PMID 42681570</w:t>
      </w:r>
    </w:p>
    <w:p>
      <w:r>
        <w:t>Bicentrische europäische Kohortenstudie (Berlin n=412, Aachen n=283) zur Validierung eines neuen, geschlechtssensitiven Scores aus Muskel- und Fettkompartimenten (IMAS) für die Überlebensprognose nach orthotoper Lebertransplantation.</w:t>
      </w:r>
    </w:p>
    <w:p>
      <w:r>
        <w:rPr>
          <w:b/>
        </w:rPr>
        <w:t xml:space="preserve">Ergebnis: </w:t>
      </w:r>
      <w:r>
        <w:t>IMAS-Quartile stratifizierten signifikant die Gesamtüberlebenszeit (p&lt;0,01 in beiden Kohorten). Sex-spezifische IMAS-Cutoffs waren in beiden Geschlechtern unabhängig prognostisch (Männer: HR=1,89, 95%-KI: 1,37–2,70, p=0,001; Frauen: HR=2,04, 95%-KI: 1,17–3,55, p=0,012). Der bisherige BAR-Score war nicht prognostisch bei Frauen. Niedrige IMAS war assoziiert mit kürzerer medialer Überlebenszeit bei 5 Jahren (Männer 43,2 vs. 50,16 Monate, p&lt;0,001; Frauen 44,2 vs. 51,71 Monate, p=0,013).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Österreich, vergleichbare Universitätskliniken</w:t>
      </w:r>
    </w:p>
    <w:p>
      <w:r>
        <w:rPr>
          <w:color w:val="5A7D3A"/>
          <w:sz w:val="18"/>
        </w:rPr>
        <w:t>https://pubmed.ncbi.nlm.nih.gov/42681570/</w:t>
      </w:r>
    </w:p>
    <w:p>
      <w:pPr>
        <w:pStyle w:val="Heading2"/>
      </w:pPr>
      <w:r>
        <w:t>Sexualisierter Drogengebrauch bei Männern, die Sex mit Männern haben: Chemsex in Italien zwischen 2018 und 2025 deutlich angestiegen</w:t>
      </w:r>
    </w:p>
    <w:p>
      <w:r>
        <w:rPr>
          <w:i/>
          <w:color w:val="666666"/>
          <w:sz w:val="18"/>
        </w:rPr>
        <w:t>Donà MG et al.  ·  Int J STD AIDS  ·  12.08.2026  ·  PMID 42583744</w:t>
      </w:r>
    </w:p>
    <w:p>
      <w:r>
        <w:t>Vergleich zweier Querschnittserhebungen (2018 vs. 2024–2025) an einem STI/HIV-Zentrum in Rom bei Männern, die Sex mit Männern haben, zu Häufigkeit und Art des sexualisierten Drogenkonsums.</w:t>
      </w:r>
    </w:p>
    <w:p>
      <w:r>
        <w:rPr>
          <w:b/>
        </w:rPr>
        <w:t xml:space="preserve">Ergebnis: </w:t>
      </w:r>
      <w:r>
        <w:t>Chemsex stieg signifikant von 5,1 % (2018) auf 19,0 % (2024–2025) (p&lt;0,0001), sowohl bei HIV-positiven Männern (p&lt;0,0001) als auch bei HIV-negativen (p=0,0005). Krystallines Methamphetamin stieg von 2,3 % auf 8,2 % (p=0,0005), Mephedron von 4,0 % auf 9,4 % (p=0,005), GHB/GBL von 3,4 % auf 16,9 % (p&lt;0,0001). Synthetische Cathinone und Cannabinoide traten nur in der neueren Erhebung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EU-Gesundheitssystem, aber keine Versorgungsmaßnahmen getestet</w:t>
      </w:r>
    </w:p>
    <w:p>
      <w:r>
        <w:rPr>
          <w:color w:val="5A7D3A"/>
          <w:sz w:val="18"/>
        </w:rPr>
        <w:t>https://pubmed.ncbi.nlm.nih.gov/42583744/</w:t>
      </w:r>
    </w:p>
    <w:p>
      <w:pPr>
        <w:pStyle w:val="Heading2"/>
      </w:pPr>
      <w:r>
        <w:t>Herzinfarkt mit Schock: Keine Unterschiede in Revaskularisierung oder Sterblichkeit zwischen Frauen und Männern</w:t>
      </w:r>
    </w:p>
    <w:p>
      <w:r>
        <w:rPr>
          <w:i/>
          <w:color w:val="666666"/>
          <w:sz w:val="18"/>
        </w:rPr>
        <w:t>Heer T et al.  ·  Clin Res Cardiol  ·  30.07.2026  ·  PMID 42530608</w:t>
      </w:r>
    </w:p>
    <w:p>
      <w:r>
        <w:t>Analyse von 4.204 Patienten mit akutem Myokardinfarkt und kardiogenem Schock aus 51 deutschen Kliniken (2009–2020) zur Frage, ob Frauen weniger häufig revaskularisiert werden und höhere Mortalität aufweisen.</w:t>
      </w:r>
    </w:p>
    <w:p>
      <w:r>
        <w:rPr>
          <w:b/>
        </w:rPr>
        <w:t xml:space="preserve">Ergebnis: </w:t>
      </w:r>
      <w:r>
        <w:t>Frauen waren im Durchschnitt 6 Jahre älter (74,3 vs. 68,0 Jahre) und hatten mehr Komorbiditäten; signifikante koronare Herzerkrankung war bei ihnen seltener (82,3 % vs. 90,3 %). Nach Altersanpassung zeigten sich keine Geschlechtsunterschiede in der Revaskularisierungsquote (adjustierte OR: 1,3; 95 %-KI: 0,99–1,72) und keine unterschiedliche Krankenhaussterblichkeit nach PCI (adjustierte OR: 1,09; 95 %-KI: 0,92–1,28). Die Studie widerlegt damit frühere Berichte über Unterbehandlung und höhere Mortalität von Frauen mit AMI-Schock nach Altersanpassung.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mit vergleichbarer Dokumentation, direkte Übertragbarkeit</w:t>
      </w:r>
    </w:p>
    <w:p>
      <w:r>
        <w:rPr>
          <w:color w:val="5A7D3A"/>
          <w:sz w:val="18"/>
        </w:rPr>
        <w:t>https://pubmed.ncbi.nlm.nih.gov/42530608/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