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19.09.2026  |  6 Studien  |  gender.m-vf.de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Mammografie: 45-Minuten-Training für Radiologen erhöht Wissen über trans Patienten signifikant</w:t>
      </w:r>
    </w:p>
    <w:p>
      <w:r>
        <w:rPr>
          <w:i/>
          <w:color w:val="666666"/>
          <w:sz w:val="18"/>
        </w:rPr>
        <w:t>Martinez A et al.  ·  Cancer Causes Control  ·  18.09.2026  ·  PMID 42758345</w:t>
      </w:r>
    </w:p>
    <w:p>
      <w:r>
        <w:t>Pilotstudie zur Evaluation einer Schulungsintervention für Brustbildgebungsfachleute (klinische Unterstützungsfachleute, Technologen, Radiologen) zu LGBTQIA+-inklusive Mammografie-Screening-Praktiken.</w:t>
      </w:r>
    </w:p>
    <w:p>
      <w:r>
        <w:rPr>
          <w:b/>
        </w:rPr>
        <w:t xml:space="preserve">Ergebnis: </w:t>
      </w:r>
      <w:r>
        <w:t>Die 45-minütige Schulung mit Storytelling führte zu signifikant erhöhtem Selbstberichtswissen über LGBTQIA+-Terminologie (großer Effekt). Teilnehmende beantworteten mehr direkt getestete Wissensfragen korrekt (kleiner Effekt). Einstellungen zu Geschlechtsvielfalt zeigten Trend zu akzeptierender Haltung (mittlerer Effekt), erreichten aber keine statistische Signifikanz.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Schulungsprinzipien unabhängig von Finanzierungssystem übertragbar</w:t>
      </w:r>
    </w:p>
    <w:p>
      <w:r>
        <w:rPr>
          <w:color w:val="5A7D3A"/>
          <w:sz w:val="18"/>
        </w:rPr>
        <w:t>https://pubmed.ncbi.nlm.nih.gov/42758345/</w:t>
      </w:r>
    </w:p>
    <w:p>
      <w:pPr>
        <w:pStyle w:val="Heading2"/>
      </w:pPr>
      <w:r>
        <w:t>Rettungsdienst: LGBTQ-Kompetenz hängt nicht von Geschlecht ab, sondern von Schulung</w:t>
      </w:r>
    </w:p>
    <w:p>
      <w:r>
        <w:rPr>
          <w:i/>
          <w:color w:val="666666"/>
          <w:sz w:val="18"/>
        </w:rPr>
        <w:t>Czapla M et al.  ·  Front Public Health  ·  03.09.2026  ·  PMID 42756002</w:t>
      </w:r>
    </w:p>
    <w:p>
      <w:r>
        <w:t>Querschnittstudie unter 172 polnischen Rettungsassistenten zur Identifikation von Faktoren, die gay-affirmativen Überzeugungen und Verhalten vorhersagen.</w:t>
      </w:r>
    </w:p>
    <w:p>
      <w:r>
        <w:rPr>
          <w:b/>
        </w:rPr>
        <w:t xml:space="preserve">Ergebnis: </w:t>
      </w:r>
      <w:r>
        <w:t>Höhere LGBTQ-Klinische Kompetenz war unabhängig mit affirmativen Überzeugungen (β = 3,85, 95%-KI 1,21–6,50, p = 0,005) und Verhalten (β = 7,29, 95%-KI 4,62–9,96, p &lt; 0,001) assoziiert. Rechtsgerichtete politische Orientierung war mit niedrigeren affirmativen Überzeugungen (β = −12,26, p &lt; 0,001) und Verhalten (β = −6,74, p = 0,013) assoziiert. LGBT-Klinische Kompetenz war der konsistenteste 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Gesundheitssystem, nachweisbar Schulungseffekt</w:t>
      </w:r>
    </w:p>
    <w:p>
      <w:r>
        <w:rPr>
          <w:color w:val="5A7D3A"/>
          <w:sz w:val="18"/>
        </w:rPr>
        <w:t>https://pubmed.ncbi.nlm.nih.gov/42756002/</w:t>
      </w:r>
    </w:p>
    <w:p>
      <w:pPr>
        <w:pStyle w:val="Heading2"/>
      </w:pPr>
      <w:r>
        <w:t>Bewusstseinsstörungen: Testosteron zeigt Assoziationen mit besseren Ergebnissen bei Männern, nicht bei Frauen</w:t>
      </w:r>
    </w:p>
    <w:p>
      <w:r>
        <w:rPr>
          <w:i/>
          <w:color w:val="666666"/>
          <w:sz w:val="18"/>
        </w:rPr>
        <w:t>Xia D et al.  ·  Front Neurol  ·  03.09.2026  ·  PMID 42755585</w:t>
      </w:r>
    </w:p>
    <w:p>
      <w:r>
        <w:t>Retrospektive Geschlechts-stratifizierte Studie zu Serum-Sexualhormonen als potenzielle prognostische Biomarker bei 119 Patienten mit prolongiertem Bewusstsein und Bewusstseinsbeeinträchtigung (pDoC).</w:t>
      </w:r>
    </w:p>
    <w:p>
      <w:r>
        <w:rPr>
          <w:b/>
        </w:rPr>
        <w:t xml:space="preserve">Ergebnis: </w:t>
      </w:r>
      <w:r>
        <w:t>Bei Männern zeigte die Gruppe mit gutem Outcome höhere Testosteronspiegel (p = 0,02). Nach logistischer Regression adjustiert für Alter, Krankheitsdauer und Ätiologie war log-transformiertes Testosteron mit günstigen Outcomes assoziiert (OR 2,97, 95%-KI 1,29–7,70, p = 0,02), überstand aber Bonferroni-Korrektur nicht (p_bonf = 0,10). Bei Frauen zeigten Sexualhormone keine klare prognostische Bedeutung. ROC-Analyse zeigte nur bescheidene Vorhersagekraft (AUC 0,656).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biologische Geschlechtsunterschiede, aber geringe klinische Prädiktivität</w:t>
      </w:r>
    </w:p>
    <w:p>
      <w:r>
        <w:rPr>
          <w:color w:val="5A7D3A"/>
          <w:sz w:val="18"/>
        </w:rPr>
        <w:t>https://pubmed.ncbi.nlm.nih.gov/42755585/</w:t>
      </w:r>
    </w:p>
    <w:p>
      <w:pPr>
        <w:pStyle w:val="Heading2"/>
      </w:pPr>
      <w:r>
        <w:t>Blutdruck und Schlaf: Geschlechtsunterschiede in Schlafstörungen und Blutdruckrisiko erklären teilweise höheres Hypertonie-Risiko</w:t>
      </w:r>
    </w:p>
    <w:p>
      <w:r>
        <w:rPr>
          <w:i/>
          <w:color w:val="666666"/>
          <w:sz w:val="18"/>
        </w:rPr>
        <w:t>Matos do Amaral T et al.  ·  Curr Hypertens Rep  ·  16.09.2026  ·  PMID 42744939</w:t>
      </w:r>
    </w:p>
    <w:p>
      <w:r>
        <w:t>Systematischer Review der Assoziationen zwischen Schlaf und Bluthochdruck mit Betonung von Geschlechtsunterschieden in der Blutdruckregulation.</w:t>
      </w:r>
    </w:p>
    <w:p>
      <w:r>
        <w:rPr>
          <w:b/>
        </w:rPr>
        <w:t xml:space="preserve">Ergebnis: </w:t>
      </w:r>
      <w:r>
        <w:t>Schlaf ist ein modifizierbarer Risikofaktor für Hypertonie. Schlafqualität, -dauer und Schlafstörungen (Insomnie, Schlafapnoe) sind mit erhöhtem Blutdruck assoziiert, mit geschlechtsspezifischen Unterschieden. Sex-spezifische hormonelle Einflüsse und autonome Dysfunktion tragen zu Unterschieden in den Assoziationen zwischen Schlafstörungen und Hypertonie-Risiko bei Männern und Frauen bei. Schlaf sollte als klinisch relevantes Ziel in die kardiovaskuläre Risikoeinschätzung einbezogen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USA-Studien, aber Physiologie geschlechtsunabhängig</w:t>
      </w:r>
    </w:p>
    <w:p>
      <w:r>
        <w:rPr>
          <w:color w:val="5A7D3A"/>
          <w:sz w:val="18"/>
        </w:rPr>
        <w:t>https://pubmed.ncbi.nlm.nih.gov/42744939/</w:t>
      </w:r>
    </w:p>
    <w:p>
      <w:pPr>
        <w:pStyle w:val="Heading2"/>
      </w:pPr>
      <w:r>
        <w:t>Blasenkrebs: Frauen zeigen unter Enfortumab Vedotin bessere progressionsfreie Überlebensraten</w:t>
      </w:r>
    </w:p>
    <w:p>
      <w:r>
        <w:rPr>
          <w:i/>
          <w:color w:val="666666"/>
          <w:sz w:val="18"/>
        </w:rPr>
        <w:t>Schneidewind L et al.  ·  Clin Genitourin Cancer  ·  30.06.2026  ·  PMID 42502035</w:t>
      </w:r>
    </w:p>
    <w:p>
      <w:r>
        <w:t>Systematische Übersicht mit Metaanalyse von 17 Studien zu Geschlechtsunterschieden im Gesamtüberleben, progressionsfreien Überleben und krankheitsfreiem Überleben nach Enfortumab-Vedotin-Therapie bei fortgeschrittenem Urothelkarzinom.</w:t>
      </w:r>
    </w:p>
    <w:p>
      <w:r>
        <w:rPr>
          <w:b/>
        </w:rPr>
        <w:t xml:space="preserve">Ergebnis: </w:t>
      </w:r>
      <w:r>
        <w:t>Frauen zeigten gegenüber Männern bessere progressionsfreie Überlebensraten (HR 0,67, 95%-KI 0,57–0,78, p &lt; 0,001), wobei Publikationsbias identifiziert wurde. Für Gesamtüberleben ergab sich kein signifikanter Unterschied (HR 0,88, 95%-KI 0,73–1,06, p = 0,17). Die Autoren betonen, dass explizite geschlechtsspezifische Analysen von Hormonal- und genetischen Aspekten nötig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Dokumentationspflichten in Krebsregistern</w:t>
      </w:r>
    </w:p>
    <w:p>
      <w:r>
        <w:rPr>
          <w:color w:val="5A7D3A"/>
          <w:sz w:val="18"/>
        </w:rPr>
        <w:t>https://pubmed.ncbi.nlm.nih.gov/42502035/</w:t>
      </w:r>
    </w:p>
    <w:p>
      <w:pPr>
        <w:pStyle w:val="Heading2"/>
      </w:pPr>
      <w:r>
        <w:t>Vorsorge vor Schwangerschaft: Frauen tragen überproportional die Last, Männer fehlen völlig</w:t>
      </w:r>
    </w:p>
    <w:p>
      <w:r>
        <w:rPr>
          <w:i/>
          <w:color w:val="666666"/>
          <w:sz w:val="18"/>
        </w:rPr>
        <w:t>Hickman ME et al.  ·  Reprod Health  ·  30.06.2026  ·  PMID 42381006</w:t>
      </w:r>
    </w:p>
    <w:p>
      <w:r>
        <w:t>Qualitative Hybrid-Workshopstudie mit 60 Akademikern, Gesundheitsberuflern und Bürgern zur Frage, wer Verantwortung für Gesundheitsverbesserung vor der Schwangerschaft trägt.</w:t>
      </w:r>
    </w:p>
    <w:p>
      <w:r>
        <w:rPr>
          <w:b/>
        </w:rPr>
        <w:t xml:space="preserve">Ergebnis: </w:t>
      </w:r>
      <w:r>
        <w:t>Teilnehmende identifizierten, dass Frauen überproportional die Verantwortung für Präkonzeptionsgesundheit tragen, was sich in Forschung, Gesundheitswesen und Gesellschaft widerspiegelt. Empfehlungen zielten auf: (1) Gesellschafts-, Gemeinschafts- und Kulturveränderung, (2) Bildung und frühes Bewusstsein, (3) zukünftige Forschung, (4) Systemebenen- und Politiklösungen mit Schwerpunkt auf gleichberechtigte Partnereinbeziehung.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UK/EMCR-Netzwerk, europäisch übertragbar, zeigt Zugangsbarriere und Zuschreibung</w:t>
      </w:r>
    </w:p>
    <w:p>
      <w:r>
        <w:rPr>
          <w:color w:val="5A7D3A"/>
          <w:sz w:val="18"/>
        </w:rPr>
        <w:t>https://pubmed.ncbi.nlm.nih.gov/42381006/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