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30.10.2026  |  6 Studien  |  gender.m-vf.de</w:t>
      </w:r>
    </w:p>
    <w:p>
      <w:pPr>
        <w:pStyle w:val="Heading1"/>
      </w:pPr>
      <w:r>
        <w:t>Aufgenommen am 30.10.2026</w:t>
      </w:r>
    </w:p>
    <w:p>
      <w:pPr>
        <w:pStyle w:val="Heading2"/>
      </w:pPr>
      <w:r>
        <w:t>Strukturelle Diskriminierung von LGBTQ+-Patienten im Gesundheitswesen: Kenia und Ruanda</w:t>
      </w:r>
    </w:p>
    <w:p>
      <w:r>
        <w:rPr>
          <w:i/>
          <w:color w:val="666666"/>
          <w:sz w:val="18"/>
        </w:rPr>
        <w:t>Igonya EK et al.  ·  Womens Health (Lond)  ·  29.10.2026  ·  PMID 42954347</w:t>
      </w:r>
    </w:p>
    <w:p>
      <w:r>
        <w:t>Erklärende Sequenzmixed-Methods-Studie mit 2.055 LGBTQ+-Erwachsenen und 145 Interviews/Fokusgruppen zu Diskriminierungserfahrungen im Gesundheitswesen.</w:t>
      </w:r>
    </w:p>
    <w:p>
      <w:r>
        <w:rPr>
          <w:b/>
        </w:rPr>
        <w:t xml:space="preserve">Ergebnis: </w:t>
      </w:r>
      <w:r>
        <w:t>Lesben, Trans- und geschlechtsnichtkonformen Personen berichteten signifikant mehr Diskriminierung als bisexuelle und cis-Personen. Lesben und Trans-Personen zeigten die höchsten Odds für Diskriminierungsmeldungen. Qualitative Daten offenbarten Verurteilung durch Personal, Vertraulichsverletzungen, Behandlungsverzögerungen und Leistungsverweigerung. Strukturelle und interpersonale Stigmatisierung wirken zusammen.</w:t>
      </w:r>
    </w:p>
    <w:p>
      <w:r>
        <w:rPr>
          <w:b/>
          <w:sz w:val="19"/>
        </w:rPr>
        <w:t xml:space="preserve">Übertragbarkeit: </w:t>
      </w:r>
      <w:r>
        <w:rPr>
          <w:sz w:val="19"/>
        </w:rPr>
        <w:t>Sub-Sahara, begrenzte Übertragbarkeit auf Deutschland; zeigt aber grundsätzliche Barrieren für marginalisierte Gruppen</w:t>
      </w:r>
    </w:p>
    <w:p>
      <w:r>
        <w:rPr>
          <w:color w:val="5A7D3A"/>
          <w:sz w:val="18"/>
        </w:rPr>
        <w:t>https://pubmed.ncbi.nlm.nih.gov/42954347/</w:t>
      </w:r>
    </w:p>
    <w:p>
      <w:pPr>
        <w:pStyle w:val="Heading2"/>
      </w:pPr>
      <w:r>
        <w:t>Sexuelle Belästigung in Nachtleben: Geschlechts- und Orientierungsunterschiede</w:t>
      </w:r>
    </w:p>
    <w:p>
      <w:r>
        <w:rPr>
          <w:i/>
          <w:color w:val="666666"/>
          <w:sz w:val="18"/>
        </w:rPr>
        <w:t>Koukounas E et al.  ·  Drug Alcohol Rev  ·  Nov. 2026  ·  PMID 42951948</w:t>
      </w:r>
    </w:p>
    <w:p>
      <w:r>
        <w:t>Querschnittstudie mit 958 australischen Nachtschwärmern zu Vortrinkverhalten, sexueller Belästigung und sexueller Orientierung.</w:t>
      </w:r>
    </w:p>
    <w:p>
      <w:r>
        <w:rPr>
          <w:b/>
        </w:rPr>
        <w:t xml:space="preserve">Ergebnis: </w:t>
      </w:r>
      <w:r>
        <w:t>Frauen berichteten signifikant mehr sexuelle Belästigungen als Männer (OR = 0,38, p &lt; 0,001); Geschlecht erklärte 12% der Varianz (β = -0,35). Heterosexuelle Personen berichteten mehr Belästigung als nicht-heterosexuelle (OR = 0,43, p &lt; 0,001). Vortrinkvolumen und -frequenz korrelierten schwach mit Belästigung (r = 0,11–0,16, p &lt; 0,001). Kontraintuitiv: LGBTQIA+-Personen zeigten keine höhere Vortrinkrate als heterosexuelle.</w:t>
      </w:r>
    </w:p>
    <w:p>
      <w:r>
        <w:rPr>
          <w:b/>
          <w:sz w:val="19"/>
        </w:rPr>
        <w:t xml:space="preserve">Übertragbarkeit: </w:t>
      </w:r>
      <w:r>
        <w:rPr>
          <w:sz w:val="19"/>
        </w:rPr>
        <w:t>Australien, ähnliche Versorgungslandschaft und Dokumentation wie europäische Systeme</w:t>
      </w:r>
    </w:p>
    <w:p>
      <w:r>
        <w:rPr>
          <w:color w:val="5A7D3A"/>
          <w:sz w:val="18"/>
        </w:rPr>
        <w:t>https://pubmed.ncbi.nlm.nih.gov/42951948/</w:t>
      </w:r>
    </w:p>
    <w:p>
      <w:pPr>
        <w:pStyle w:val="Heading2"/>
      </w:pPr>
      <w:r>
        <w:t>Sporttraumata an Fuß und Sprunggelenk: Geschlechtsspezifische Unterschiede und Risikofaktoren</w:t>
      </w:r>
    </w:p>
    <w:p>
      <w:r>
        <w:rPr>
          <w:i/>
          <w:color w:val="666666"/>
          <w:sz w:val="18"/>
        </w:rPr>
        <w:t>Geaney L et al.  ·  Foot Ankle Clin  ·  11.08.2026  ·  PMID 42951407</w:t>
      </w:r>
    </w:p>
    <w:p>
      <w:r>
        <w:t>Übersichtsarbeit zu geschlechtsspezifischen Unterschieden in Fuß- und Sprunggelenksverletzungen im Sport bei Athletinnen und Athleten.</w:t>
      </w:r>
    </w:p>
    <w:p>
      <w:r>
        <w:rPr>
          <w:b/>
        </w:rPr>
        <w:t xml:space="preserve">Ergebnis: </w:t>
      </w:r>
      <w:r>
        <w:t>Weibliche Athletinnen überproportional betroffen von Sprunggelenksdistorsionen, chronischer Instabilität und Stressfrakturen. Relative Energy Deficiency in Sport und Athlete Triad sind Risikofaktoren, bleiben aber untererkannt. Anatomische, hormonelle, biomechanische und soziokulturelle Faktoren tragen zu Unterschieden bei. Forschungslücke: Unterrepräsentation weiblicher Probandinnen in Sportmedizin-Studien; Diskrepanzen in Screening, Behandlung und Outcomes dokumentiert.</w:t>
      </w:r>
    </w:p>
    <w:p>
      <w:r>
        <w:rPr>
          <w:b/>
          <w:sz w:val="19"/>
        </w:rPr>
        <w:t xml:space="preserve">Übertragbarkeit: </w:t>
      </w:r>
      <w:r>
        <w:rPr>
          <w:sz w:val="19"/>
        </w:rPr>
        <w:t>USA, aber Sicherheitsbefunde (Athlete Triad, Versorgungslücken) sind übertragbar auf Deutschland</w:t>
      </w:r>
    </w:p>
    <w:p>
      <w:r>
        <w:rPr>
          <w:color w:val="5A7D3A"/>
          <w:sz w:val="18"/>
        </w:rPr>
        <w:t>https://pubmed.ncbi.nlm.nih.gov/42951407/</w:t>
      </w:r>
    </w:p>
    <w:p>
      <w:pPr>
        <w:pStyle w:val="Heading2"/>
      </w:pPr>
      <w:r>
        <w:t>Forschungsprioritäten für Präkonzeptionsgesundheit junger Menschen in Australien</w:t>
      </w:r>
    </w:p>
    <w:p>
      <w:r>
        <w:rPr>
          <w:i/>
          <w:color w:val="666666"/>
          <w:sz w:val="18"/>
        </w:rPr>
        <w:t>Padhani ZA et al.  ·  Health Expect  ·  Dez. 2026  ·  PMID 42947580</w:t>
      </w:r>
    </w:p>
    <w:p>
      <w:r>
        <w:t>Partizipative Forschungspriorisierung nach James-Lind-Alliance mit 14 jungen und 22–30 fachlichen Stakeholdern zur Identifikation offener Fragen für Präkonzeptionsgesundheit bei Adoleszenten und jungen Erwachsenen.</w:t>
      </w:r>
    </w:p>
    <w:p>
      <w:r>
        <w:rPr>
          <w:b/>
        </w:rPr>
        <w:t xml:space="preserve">Ergebnis: </w:t>
      </w:r>
      <w:r>
        <w:t>Top-10-Forschungsfragen identifiziert über fünf Domänen: Gewalt und psychische Gesundheit, Früherkennung und Prävention, Substanzkonsum, Zugang zu Präkonzeptionsversorgung sowie Prioritätspopulationen. Höchste Prioritäten konzentriert auf Gewalt, psychische Gesundheit und Substanzgebrauch; Zugang und Chancengleichheit als Querschnittthemen relevant für beide Geschlechter.</w:t>
      </w:r>
    </w:p>
    <w:p>
      <w:r>
        <w:rPr>
          <w:b/>
          <w:sz w:val="19"/>
        </w:rPr>
        <w:t xml:space="preserve">Übertragbarkeit: </w:t>
      </w:r>
      <w:r>
        <w:rPr>
          <w:sz w:val="19"/>
        </w:rPr>
        <w:t>Australien, vergleichbare Sozialversicherung und Versorgungsauftrag wie Deutschland; Methodologie auf andere Länder übertragbar</w:t>
      </w:r>
    </w:p>
    <w:p>
      <w:r>
        <w:rPr>
          <w:color w:val="5A7D3A"/>
          <w:sz w:val="18"/>
        </w:rPr>
        <w:t>https://pubmed.ncbi.nlm.nih.gov/42947580/</w:t>
      </w:r>
    </w:p>
    <w:p>
      <w:pPr>
        <w:pStyle w:val="Heading2"/>
      </w:pPr>
      <w:r>
        <w:t>Schlaf-Gedächtnis-Zusammenhänge bei älteren Frauen und Männern mit Alzheimer-Risiko</w:t>
      </w:r>
    </w:p>
    <w:p>
      <w:r>
        <w:rPr>
          <w:i/>
          <w:color w:val="666666"/>
          <w:sz w:val="18"/>
        </w:rPr>
        <w:t>Sattari N et al.  ·  Front Endocrinol (Lausanne)  ·  12.10.2026  ·  PMID 42935558</w:t>
      </w:r>
    </w:p>
    <w:p>
      <w:r>
        <w:t>Neurofiziologische Studie mit 80 älteren Erwachsenen (65 mit Gedächtnistest) zu Unterschieden zwischen Frauen und Männern in NREM-Schlafphysiologie, Gedächtnisretention und APOE-ε4-Status mittels Polysomnografie mit hochdichtem EEG.</w:t>
      </w:r>
    </w:p>
    <w:p>
      <w:r>
        <w:rPr>
          <w:b/>
        </w:rPr>
        <w:t xml:space="preserve">Ergebnis: </w:t>
      </w:r>
      <w:r>
        <w:t>Frauen verbrachten mehr Zeit in N3-Schlaf und zeigten höhere NREM-Delta- und Sigma-Power als Männer. Schlaf-Gedächtnis-Assoziationen unterschieden sich geschlechtsspezifisch: N2-Dauer stärker mit Retention bei Männern assoziiert; frontale Sigma-Power bei Frauen. Sex-×-APOE-ε4-Interaktion: weibliche ε4-Träger könnten reduziertes nächtliches Vergessen zeigen, möglicherweise kompensatorische Mechanismen. Nach FDR-Korrektur signifikante Unterschiede in N2-/N3-Gedächtnis-Beziehungen nach APOE-Status.</w:t>
      </w:r>
    </w:p>
    <w:p>
      <w:r>
        <w:rPr>
          <w:b/>
          <w:sz w:val="19"/>
        </w:rPr>
        <w:t xml:space="preserve">Übertragbarkeit: </w:t>
      </w:r>
      <w:r>
        <w:rPr>
          <w:sz w:val="19"/>
        </w:rPr>
        <w:t>USA, aber biologische Befunde zu Schlafphysiologie und Geschlecht sind systemunabhängig relevant</w:t>
      </w:r>
    </w:p>
    <w:p>
      <w:r>
        <w:rPr>
          <w:color w:val="5A7D3A"/>
          <w:sz w:val="18"/>
        </w:rPr>
        <w:t>https://pubmed.ncbi.nlm.nih.gov/42935558/</w:t>
      </w:r>
    </w:p>
    <w:p>
      <w:pPr>
        <w:pStyle w:val="Heading2"/>
      </w:pPr>
      <w:r>
        <w:t>Katastrophenexposition und Frauengesundheit: Längsschnittergebnisse aus Australien</w:t>
      </w:r>
    </w:p>
    <w:p>
      <w:r>
        <w:rPr>
          <w:i/>
          <w:color w:val="666666"/>
          <w:sz w:val="18"/>
        </w:rPr>
        <w:t>Seema M et al.  ·  Glob Health Action  ·  31.12.2026  ·  PMID 42935352</w:t>
      </w:r>
    </w:p>
    <w:p>
      <w:r>
        <w:t>Längsschnittstudie (Wellen 9–22 des Household, Income and Labour Dynamics in Australia Survey) mit Frauen ≥15 Jahren zu Zusammenhängen zwischen Katastrophenexposition und psychischer Gesundheit, psychologischer Belastung sowie allgemeinem Gesundheitsstatus.</w:t>
      </w:r>
    </w:p>
    <w:p>
      <w:r>
        <w:rPr>
          <w:b/>
        </w:rPr>
        <w:t xml:space="preserve">Ergebnis: </w:t>
      </w:r>
      <w:r>
        <w:t>Katastrophenexposition assoziiert mit bescheidener Abnahme psychischer Gesundheit (β = -0,86, 95% KI -1,51 bis -0,20) und allgemeiner Gesundheit (β = -0,83, 95% KI -1,44 bis -0,22). Psychologische Belastung erhöht, aber nicht statistisch signifikant (β = 0,33, 95% KI -0,04 bis 0,70). Event-Analysen zeigten keine konsistenten Anhaltspunkte für anhaltende Verschlechterung post-Exposition.</w:t>
      </w:r>
    </w:p>
    <w:p>
      <w:r>
        <w:rPr>
          <w:b/>
          <w:sz w:val="19"/>
        </w:rPr>
        <w:t xml:space="preserve">Übertragbarkeit: </w:t>
      </w:r>
      <w:r>
        <w:rPr>
          <w:sz w:val="19"/>
        </w:rPr>
        <w:t>Australien, Längsschnitt-Registerdaten; methodisch auf andere Länder übertragbar</w:t>
      </w:r>
    </w:p>
    <w:p>
      <w:r>
        <w:rPr>
          <w:color w:val="5A7D3A"/>
          <w:sz w:val="18"/>
        </w:rPr>
        <w:t>https://pubmed.ncbi.nlm.nih.gov/42935352/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