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Geschlecht und Gesundheit</w:t>
      </w:r>
    </w:p>
    <w:p>
      <w:r>
        <w:rPr>
          <w:i/>
          <w:color w:val="666666"/>
          <w:sz w:val="18"/>
        </w:rPr>
        <w:t>Stand: 02.09.2026  |  7 Studien  |  gender.m-vf.de</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Geschlecht und Gesundheit</dc:title>
  <dc:subject/>
  <dc:creator>Monitor Versorgungsforschung</dc:creator>
  <cp:keywords/>
  <dc:description>generated by python-docx</dc:description>
  <cp:lastModifiedBy/>
  <cp:revision>1</cp:revision>
  <dcterms:created xsi:type="dcterms:W3CDTF">2026-09-02T06:00:00Z</dcterms:created>
  <dcterms:modified xsi:type="dcterms:W3CDTF">2026-09-02T06:00:00Z</dcterms:modified>
  <cp:category/>
</cp:coreProperties>
</file>