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 und Gesundheit</w:t>
      </w:r>
    </w:p>
    <w:p>
      <w:r>
        <w:rPr>
          <w:i/>
          <w:color w:val="666666"/>
          <w:sz w:val="18"/>
        </w:rPr>
        <w:t>Stand: 04.10.2026  |  252 Studien  |  gender.m-vf.de</w:t>
      </w:r>
    </w:p>
    <w:p>
      <w:pPr>
        <w:pStyle w:val="Heading1"/>
      </w:pPr>
      <w:r>
        <w:t>Aufgenommen am 04.10.2026</w:t>
      </w:r>
    </w:p>
    <w:p>
      <w:pPr>
        <w:pStyle w:val="Heading2"/>
      </w:pPr>
      <w:r>
        <w:t>Gewalt gegen Transfrauen mit HIV in Frankreich: Muster und Zusammenhänge</w:t>
      </w:r>
    </w:p>
    <w:p>
      <w:r>
        <w:rPr>
          <w:i/>
          <w:color w:val="666666"/>
          <w:sz w:val="18"/>
        </w:rPr>
        <w:t>Fiorentino M et al.  ·  BMJ Open  ·  01.10.2026  ·  PMID 42823115</w:t>
      </w:r>
    </w:p>
    <w:p>
      <w:r>
        <w:t>Französische nationale Querschnittsstudie (501 Transfrauen mit HIV, ANRS-Trans&amp;HIV 2020–2022) zu Gewalterfahrung im vergangenen Jahr und Zusammenhängen mit strukturellen Faktoren und Transaktionssex.</w:t>
      </w:r>
    </w:p>
    <w:p>
      <w:r>
        <w:rPr>
          <w:b/>
        </w:rPr>
        <w:t xml:space="preserve">Ergebnis: </w:t>
      </w:r>
      <w:r>
        <w:t>Bei Transfrauen mit transaktionellem Sexkontakt (66% der Stichprobe) drei Gewalttypologien: niedriges berichtetes Gewaltaufkommen (42%), Mehrperpetratoren-Gewalt (8%), Kunden- und Straßengewalt (17%). Bei Transfrauen ohne Transaktionssex: niedriges Gewaltaufkommen (30%), Mehrperpetratoren-Gewalt (3%). Korrelate von Kunden-/Straßengewalt: inadäquates Wohnen, ART-Unterbrechung, Stimulanziengebrauch, täglicher Cannabiskonsum. Mehrperpetratoren-Gewalt assoziiert mit Depression und mangelnder emotionaler Unterstützung. Jede zehnte Transfrau erlebte mehrfache Gewaltsformen unabhängig von Transaktionssex. Erklärt Ursachen der Gewalt (strukturelle Verwundbarkeit, prekäre Arbeitsbedingungen, psychische Belastung), nicht nur die Beobachtung.</w:t>
      </w:r>
    </w:p>
    <w:p>
      <w:r>
        <w:rPr>
          <w:b/>
          <w:sz w:val="19"/>
        </w:rPr>
        <w:t xml:space="preserve">Übertragbarkeit: </w:t>
      </w:r>
      <w:r>
        <w:rPr>
          <w:sz w:val="19"/>
        </w:rPr>
        <w:t>Frankreich, europäisches Gesundheitssystem, geschlechtsangleichende Versorgung ähnlich deutschem Anspruch.</w:t>
      </w:r>
    </w:p>
    <w:p>
      <w:r>
        <w:rPr>
          <w:color w:val="5A7D3A"/>
          <w:sz w:val="18"/>
        </w:rPr>
        <w:t>https://pubmed.ncbi.nlm.nih.gov/42823115/</w:t>
      </w:r>
    </w:p>
    <w:p>
      <w:pPr>
        <w:pStyle w:val="Heading2"/>
      </w:pPr>
      <w:r>
        <w:t>Geschlechtsspezifische Mechanismen chronischer Schmerzen</w:t>
      </w:r>
    </w:p>
    <w:p>
      <w:r>
        <w:rPr>
          <w:i/>
          <w:color w:val="666666"/>
          <w:sz w:val="18"/>
        </w:rPr>
        <w:t>Venkataraman A et al.  ·  Science  ·  01.10.2026  ·  PMID 42821694</w:t>
      </w:r>
    </w:p>
    <w:p>
      <w:r>
        <w:t>Übersichtsarbeit zu biologischen Unterschieden in Schmerzwahrnehmung und -verarbeitung bei Frauen und Männern, mit Fokus auf Hormonwirkung, Neuro-Immuninteraktion und endogene Analgesie.</w:t>
      </w:r>
    </w:p>
    <w:p>
      <w:r>
        <w:rPr>
          <w:b/>
        </w:rPr>
        <w:t xml:space="preserve">Ergebnis: </w:t>
      </w:r>
      <w:r>
        <w:t>Frauen, besonders junge Frauen, sind überproportional von Schmerzstörungen betroffen (Reizdarmsyndrom, Endometriose, Migräne, Fibromyalgie, Osteoarthritis, neuropathischer Schmerz). Die Arbeit identifiziert geschlechtsspezifische biologische Pfade, die Schmerzinduktion, -verstärkung und -auflösung regulieren, und zeigt, dass diese Unterschiede auf Sexualhormone, Immunsignale, Mikrobiom und endogene Analgesiesysteme zurückgehen. Damit wird erklärt, warum Frauen höhere Schmerzempfindlichkeit erleben, statt nur die Beobachtung zu beschreiben.</w:t>
      </w:r>
    </w:p>
    <w:p>
      <w:r>
        <w:rPr>
          <w:b/>
          <w:sz w:val="19"/>
        </w:rPr>
        <w:t xml:space="preserve">Übertragbarkeit: </w:t>
      </w:r>
      <w:r>
        <w:rPr>
          <w:sz w:val="19"/>
        </w:rPr>
        <w:t>USA, aber Schmerzbiologie ist universell; AWMF-Leitlinien zu chronischen Schmerzen berücksichtigen Geschlecht noch unzureichend.</w:t>
      </w:r>
    </w:p>
    <w:p>
      <w:r>
        <w:rPr>
          <w:color w:val="5A7D3A"/>
          <w:sz w:val="18"/>
        </w:rPr>
        <w:t>https://pubmed.ncbi.nlm.nih.gov/42821694/</w:t>
      </w:r>
    </w:p>
    <w:p>
      <w:pPr>
        <w:pStyle w:val="Heading2"/>
      </w:pPr>
      <w:r>
        <w:t>Sexuelle Doppelmoral und geschlechtergebundene Unterschiede in Risikoverhalten bei Jugendlichen</w:t>
      </w:r>
    </w:p>
    <w:p>
      <w:r>
        <w:rPr>
          <w:i/>
          <w:color w:val="666666"/>
          <w:sz w:val="18"/>
        </w:rPr>
        <w:t>Alidou S et al.  ·  Afr J Reprod Health  ·  01.10.2026  ·  PMID 42819489</w:t>
      </w:r>
    </w:p>
    <w:p>
      <w:r>
        <w:t>Togolese Multiple-Indicator-Cluster-Survey-Analyse (1.768 sexuell aktive 15–24-Jährige) zu Geschlechterdisparitäten in riskantem Sexualverhalten.</w:t>
      </w:r>
    </w:p>
    <w:p>
      <w:r>
        <w:rPr>
          <w:b/>
        </w:rPr>
        <w:t xml:space="preserve">Ergebnis: </w:t>
      </w:r>
      <w:r>
        <w:t>Gesamtprävalenz risikanten Sexualverhaltens 40,8% (95%-KI: 38,1–43,6). Männer zeigten deutlich höhere Raten (47,9% vs. 39,9%, p=0,002) und waren fünfmal häufiger als Frauen mit mehreren Partnern (AOR=4,56, p&lt;0,001). Median-Alter beim Erstkontakt 16 Jahre, signifikant früher bei Mädchen. Kein Geschlechtsdifference beim Kondomnichtgebrauch; Alkoholkonsum und Bildung stark assoziiert. Dokumentiert persistente sexuelle Doppelmoral und biologisch-soziale Mechanismen (frühere Sexualaktivität bei Mädchen, unterschiedliche Partnerzahl bei Jungen).</w:t>
      </w:r>
    </w:p>
    <w:p>
      <w:r>
        <w:rPr>
          <w:b/>
          <w:sz w:val="19"/>
        </w:rPr>
        <w:t xml:space="preserve">Übertragbarkeit: </w:t>
      </w:r>
      <w:r>
        <w:rPr>
          <w:sz w:val="19"/>
        </w:rPr>
        <w:t>Subsahara-Afrika, andere Ausgangslage; Befund zur sexuellen Doppelmoral ist kulturübergreifend relevant.</w:t>
      </w:r>
    </w:p>
    <w:p>
      <w:r>
        <w:rPr>
          <w:color w:val="5A7D3A"/>
          <w:sz w:val="18"/>
        </w:rPr>
        <w:t>https://pubmed.ncbi.nlm.nih.gov/42819489/</w:t>
      </w:r>
    </w:p>
    <w:p>
      <w:pPr>
        <w:pStyle w:val="Heading2"/>
      </w:pPr>
      <w:r>
        <w:t>Obstruktive Schlafapnoe und Schlaganfallrisiko: Geschlechts- und Altersunterschiede</w:t>
      </w:r>
    </w:p>
    <w:p>
      <w:r>
        <w:rPr>
          <w:i/>
          <w:color w:val="666666"/>
          <w:sz w:val="18"/>
        </w:rPr>
        <w:t>Agrawal R et al.  ·  PLoS One  ·  30.09.2026  ·  PMID 42814704</w:t>
      </w:r>
    </w:p>
    <w:p>
      <w:r>
        <w:t>Große US-Querschnittsstudie (556.474 OSA-Patienten aus elektronischen Patientenakten 1999–2016), die Prävalenzraten von OSA und Schlaganfallrisikofaktoren nach Alter und Geschlecht stratifiziert.</w:t>
      </w:r>
    </w:p>
    <w:p>
      <w:r>
        <w:rPr>
          <w:b/>
        </w:rPr>
        <w:t xml:space="preserve">Ergebnis: </w:t>
      </w:r>
      <w:r>
        <w:t>Männer zeigten durchgehend höhere OSA-Prävalenz als Frauen (10,43% vs. 9,28%), ebenso höhere Hypertonie (7,37% vs. 7,11%). Beide Geschlechter zeigten Prävalenzspitzen im Alter 55 Jahren; kardiovaskuläre Komorbiditäten (Hypertonie 57,83%, Diabetes 34,7%, Herzinsuffizienz 17,7%) nahmen in älteren Altersgruppen zu. Die Befunde sind populationsrepräsentativ, keine kausalen Schlüsse möglich. Zeigt geschlechtsspezifische Epidemiologie ohne Erklärung der Ursachen.</w:t>
      </w:r>
    </w:p>
    <w:p>
      <w:r>
        <w:rPr>
          <w:b/>
          <w:sz w:val="19"/>
        </w:rPr>
        <w:t xml:space="preserve">Übertragbarkeit: </w:t>
      </w:r>
      <w:r>
        <w:rPr>
          <w:sz w:val="19"/>
        </w:rPr>
        <w:t>USA-Daten, aber elektronische Patientendaten sind vergleichbar mit deutschen Krankenhausinformationssystemen.</w:t>
      </w:r>
    </w:p>
    <w:p>
      <w:r>
        <w:rPr>
          <w:color w:val="5A7D3A"/>
          <w:sz w:val="18"/>
        </w:rPr>
        <w:t>https://pubmed.ncbi.nlm.nih.gov/42814704/</w:t>
      </w:r>
    </w:p>
    <w:p>
      <w:pPr>
        <w:pStyle w:val="Heading2"/>
      </w:pPr>
      <w:r>
        <w:t>Inflammatorische Immunantwort und Geschlecht: biologische Grundlagen der Mortalitätsunterschiede</w:t>
      </w:r>
    </w:p>
    <w:p>
      <w:r>
        <w:rPr>
          <w:i/>
          <w:color w:val="666666"/>
          <w:sz w:val="18"/>
        </w:rPr>
        <w:t>Casimir G  ·  Rev Prat  ·  Sept. 2026  ·  PMID 42808628</w:t>
      </w:r>
    </w:p>
    <w:p>
      <w:r>
        <w:t>Französische Übersichtsarbeit zu geschlechtsspezifischen Unterschieden in Entzündungshomöostase und deren Auswirkungen auf schwere Infektionen und Sterblichkeit.</w:t>
      </w:r>
    </w:p>
    <w:p>
      <w:r>
        <w:rPr>
          <w:b/>
        </w:rPr>
        <w:t xml:space="preserve">Ergebnis: </w:t>
      </w:r>
      <w:r>
        <w:t>Frauen leben länger als Männer; dieser Unterschied bleibt über beide Geschlechter hinweg konstant, wie die COVID-19-Pandemie gezeigt hat. Das Kernphänomen ist ein geschlechtsspezifischer Unterschied in der Kontrolle der Entzündungshomöostase—sowohl in Kinetik als auch Intensität. Die Arbeit analysiert mechanistische Literatur zu diagnostischen, regulatorischen und therapeutischen Aspekten und diskutiert zukünftige Perspektiven für Patienten mit schweren Infektionen und Entzündungserkrankungen. Erklärt biologische Mechanismen, die dem Überlebensvorteil von Frauen zugrunde liegen.</w:t>
      </w:r>
    </w:p>
    <w:p>
      <w:r>
        <w:rPr>
          <w:b/>
          <w:sz w:val="19"/>
        </w:rPr>
        <w:t xml:space="preserve">Übertragbarkeit: </w:t>
      </w:r>
      <w:r>
        <w:rPr>
          <w:sz w:val="19"/>
        </w:rPr>
        <w:t>Belgien, französischsprachiger Raum, Grundlagenbefunde zur Inflammationskontrolle übertragbar.</w:t>
      </w:r>
    </w:p>
    <w:p>
      <w:r>
        <w:rPr>
          <w:color w:val="5A7D3A"/>
          <w:sz w:val="18"/>
        </w:rPr>
        <w:t>https://pubmed.ncbi.nlm.nih.gov/42808628/</w:t>
      </w:r>
    </w:p>
    <w:p>
      <w:pPr>
        <w:pStyle w:val="Heading2"/>
      </w:pPr>
      <w:r>
        <w:t>Feindselige Attributionsverzerrung im Kindesalter: Geschlechtsspezifische Pfade von Beziehungskonflikt und exekutiven Funktionen</w:t>
      </w:r>
    </w:p>
    <w:p>
      <w:r>
        <w:rPr>
          <w:i/>
          <w:color w:val="666666"/>
          <w:sz w:val="18"/>
        </w:rPr>
        <w:t>Badarneh M et al.  ·  Dev Psychopathol  ·  25.09.2026  ·  PMID 42788260</w:t>
      </w:r>
    </w:p>
    <w:p>
      <w:r>
        <w:t>Längsschnittstudie mit 279 arabisch- und jüdischen Kindern (138 Mädchen; erfasst in frühem [M=5,7 Jahre] und spätem [M=10,6 Jahre] Kindesalter) zu frühen Prädiktoren der feindseligen Attributionsverzerrung und Geschlechtsdifferenzierung dieser Pfade.</w:t>
      </w:r>
    </w:p>
    <w:p>
      <w:r>
        <w:rPr>
          <w:b/>
        </w:rPr>
        <w:t xml:space="preserve">Ergebnis: </w:t>
      </w:r>
      <w:r>
        <w:t>Multivariates Modell zeigte geschlechtsdifferenzierte Pfade: Bei Jungen sagte kognitive Flexibilität (eine exekutive Funktion) niedrigere feindselige Attributionsverzerrung voraus (β=−0,24). Bei Mädchen sagte Lehrer-Kind-Konflikt höhere Verzerrung voraus (β=0,36). Mutter-Kind-Konflikt war bei Jungen nicht signifikant. Diese Befunde zeigen, dass die Balance zwischen relationalen und kognitiven Pfaden zur Entwicklung von Aggression geschlechterdifferenziert ist—Jungen reagieren auf kognitives Defizit, Mädchen auf relationale Belastung. Erklärt den biologisch-sozialen Mechanismus, nicht nur die Beobachtung.</w:t>
      </w:r>
    </w:p>
    <w:p>
      <w:r>
        <w:rPr>
          <w:b/>
          <w:sz w:val="19"/>
        </w:rPr>
        <w:t xml:space="preserve">Übertragbarkeit: </w:t>
      </w:r>
      <w:r>
        <w:rPr>
          <w:sz w:val="19"/>
        </w:rPr>
        <w:t>Israel (arabisch/jüdisch gemischte Stichprobe), kulturell-spezifisch, aber Geschlechtsmechanismen sind entwicklungspsychologisch universal relevant.</w:t>
      </w:r>
    </w:p>
    <w:p>
      <w:r>
        <w:rPr>
          <w:color w:val="5A7D3A"/>
          <w:sz w:val="18"/>
        </w:rPr>
        <w:t>https://pubmed.ncbi.nlm.nih.gov/42788260/</w:t>
      </w:r>
    </w:p>
    <w:p>
      <w:pPr>
        <w:pStyle w:val="Heading2"/>
      </w:pPr>
      <w:r>
        <w:t>Geschlechtsungerechte Einstellungen und Mobbing: Schulklima und Einstellungs-Verhaltens-Kopplung</w:t>
      </w:r>
    </w:p>
    <w:p>
      <w:r>
        <w:rPr>
          <w:i/>
          <w:color w:val="666666"/>
          <w:sz w:val="18"/>
        </w:rPr>
        <w:t>Song B  ·  J Youth Adolesc  ·  24.09.2026  ·  PMID 42782495</w:t>
      </w:r>
    </w:p>
    <w:p>
      <w:r>
        <w:t>Querschnittsstudie über 15 Schulsysteme (47.962 Frühadoleszente, M-Alter 15,76 Jahre) zur Assoziation zwischen Geschlechtseinstellungen und Mobbingverhalten sowie zur Moderatorrolle des schulischen Kohäsionsklimas.</w:t>
      </w:r>
    </w:p>
    <w:p>
      <w:r>
        <w:rPr>
          <w:b/>
        </w:rPr>
        <w:t xml:space="preserve">Ergebnis: </w:t>
      </w:r>
      <w:r>
        <w:t>Geschlechtsungerechte Einstellungen waren positiv mit Mobbingverhalten assoziiert. Ein weiblich-konzentrierteres Haushaltseinkommen-Verteilungsmuster war indirekt mit Mobbing über diese Einstellungen verknüpft. Schulen mit höherer relationaler Kohäsion berichteten weniger Mobbing insgesamt (β für Effekt auf Mobbingmittelwert signifikant), aber Kohäsion schwächte die Einstellungs-Verhaltens-Beziehung nicht ab (kein signifikanter Wechselwirkungseffekt). Ein feindseligeres Schulgeschlechtsklima war mit mehr Mobbing und bescheidener stärkerem Link assoziiert. Alignment-Analyse flaggte 48% der Geschlechtseinstellungsparameter als noninvariant über Systeme. Zeigt biologisch-soziale Pfade (Haushaltsmuster → Einstellungen → Verhalten) und dass Schulklima den Gesamtlevel senkt, aber nicht die Linkage.</w:t>
      </w:r>
    </w:p>
    <w:p>
      <w:r>
        <w:rPr>
          <w:b/>
          <w:sz w:val="19"/>
        </w:rPr>
        <w:t xml:space="preserve">Übertragbarkeit: </w:t>
      </w:r>
      <w:r>
        <w:rPr>
          <w:sz w:val="19"/>
        </w:rPr>
        <w:t>15 Schulsysteme (OECD-Länder, teils Europa); limitiert übertragbar auf Deutschland ohne spezifische deutsche Stichprobe.</w:t>
      </w:r>
    </w:p>
    <w:p>
      <w:r>
        <w:rPr>
          <w:color w:val="5A7D3A"/>
          <w:sz w:val="18"/>
        </w:rPr>
        <w:t>https://pubmed.ncbi.nlm.nih.gov/42782495/</w:t>
      </w:r>
    </w:p>
    <w:p>
      <w:pPr>
        <w:pStyle w:val="Heading1"/>
      </w:pPr>
      <w:r>
        <w:t>Aufgenommen am 03.10.2026</w:t>
      </w:r>
    </w:p>
    <w:p>
      <w:pPr>
        <w:pStyle w:val="Heading2"/>
      </w:pPr>
      <w:r>
        <w:t>Herzkrebssterblichkeit bei Männern 14 % höher – Unterschiede je nach Lebererkrankung</w:t>
      </w:r>
    </w:p>
    <w:p>
      <w:r>
        <w:rPr>
          <w:i/>
          <w:color w:val="666666"/>
          <w:sz w:val="18"/>
        </w:rPr>
        <w:t>Yan T et al.  ·  JAMA Netw Open  ·  01.10.2026  ·  PMID 42826017</w:t>
      </w:r>
    </w:p>
    <w:p>
      <w:r>
        <w:t>Retrospektive Kohortenstudie an 8.594 Hepatokarzinom-Patienten aus 17 Zentren (2000–2023), die Geschlechtsunterschiede in der Gesamtsterblichkeit, leberbedingt und nicht-leberbedingt untersucht.</w:t>
      </w:r>
    </w:p>
    <w:p>
      <w:r>
        <w:rPr>
          <w:b/>
        </w:rPr>
        <w:t xml:space="preserve">Ergebnis: </w:t>
      </w:r>
      <w:r>
        <w:t>Männer zeigten eine höhere Gesamtsterblichkeit (aHR 1,14; 95%-KI 1,05–1,23; p=0,002). Effekte variierten nach Ätiologie: Alkoholbedingte Lebererkrankung (aHR 1,90), Hepatitis B (aHR 1,22), Hepatitis C (aHR 1,13), aber kein Unterschied bei metabolischer Fettlebererkrankung. Keine signifikanten Geschlechtsunterschiede bei nicht-leberbedingte Sterblichkeit.</w:t>
      </w:r>
    </w:p>
    <w:p>
      <w:r>
        <w:rPr>
          <w:b/>
          <w:sz w:val="19"/>
        </w:rPr>
        <w:t xml:space="preserve">Übertragbarkeit: </w:t>
      </w:r>
      <w:r>
        <w:rPr>
          <w:sz w:val="19"/>
        </w:rPr>
        <w:t>Internationale Kohortendaten mit vergleichbarer Dokumentation; biologische Mechanismen ungeklärt.</w:t>
      </w:r>
    </w:p>
    <w:p>
      <w:r>
        <w:rPr>
          <w:color w:val="5A7D3A"/>
          <w:sz w:val="18"/>
        </w:rPr>
        <w:t>https://pubmed.ncbi.nlm.nih.gov/42826017/</w:t>
      </w:r>
    </w:p>
    <w:p>
      <w:pPr>
        <w:pStyle w:val="Heading2"/>
      </w:pPr>
      <w:r>
        <w:t>Depressionsrisiko: Unterschiedliche Schutzfaktoren je nach Alter und Geschlecht</w:t>
      </w:r>
    </w:p>
    <w:p>
      <w:r>
        <w:rPr>
          <w:i/>
          <w:color w:val="666666"/>
          <w:sz w:val="18"/>
        </w:rPr>
        <w:t>Chen L et al.  ·  Epidemiol Psychiatr Sci  ·  01.10.2026  ·  PMID 42817766</w:t>
      </w:r>
    </w:p>
    <w:p>
      <w:r>
        <w:t>Prospektive Kohortenstudie an 428.078 Erwachsenen, die alters- und geschlechtsspezifische modifizierbare Risikofaktoren für Depressionen priorisiert.</w:t>
      </w:r>
    </w:p>
    <w:p>
      <w:r>
        <w:rPr>
          <w:b/>
        </w:rPr>
        <w:t xml:space="preserve">Ergebnis: </w:t>
      </w:r>
      <w:r>
        <w:t>Von 15.106 (3,53 %) entwickelten Depression. Bevölkerungsattribuierbare Fraktionen (PAF) sanken mit Alter (Mittelalter 83,47 %, Rentner 76,77 %). Gesundheitsfaktoren zeigten höchste PAF (33,46–38,12 %), angeführt von schwacher Griffstärke (12,60–18,09 %) und BMI. Bei Männern rangierte Arbeitslosigkeit (PAF 24,55 %) an erster Stelle. Schlafqualität und Rauchen waren bei Frauen und jüngeren Gruppen führend. Kombinierte Risikomuster mit geringer sozialer Unterstützung erhöhten Risiko bis zu 4,37-fach.</w:t>
      </w:r>
    </w:p>
    <w:p>
      <w:r>
        <w:rPr>
          <w:b/>
          <w:sz w:val="19"/>
        </w:rPr>
        <w:t xml:space="preserve">Übertragbarkeit: </w:t>
      </w:r>
      <w:r>
        <w:rPr>
          <w:sz w:val="19"/>
        </w:rPr>
        <w:t>China, aber alters-geschlechtsspezifische Risikoprofile sind universal übertragbar.</w:t>
      </w:r>
    </w:p>
    <w:p>
      <w:r>
        <w:rPr>
          <w:color w:val="5A7D3A"/>
          <w:sz w:val="18"/>
        </w:rPr>
        <w:t>https://pubmed.ncbi.nlm.nih.gov/42817766/</w:t>
      </w:r>
    </w:p>
    <w:p>
      <w:pPr>
        <w:pStyle w:val="Heading2"/>
      </w:pPr>
      <w:r>
        <w:t>Mütter- und Kindergesundheit im Tertiärbereich: Lücken in Schwangerenbetreuung und Geburtsverlauf</w:t>
      </w:r>
    </w:p>
    <w:p>
      <w:r>
        <w:rPr>
          <w:i/>
          <w:color w:val="666666"/>
          <w:sz w:val="18"/>
        </w:rPr>
        <w:t>Khan MK et al.  ·  Mymensingh Med J  ·  Okt. 2026  ·  PMID 42811831</w:t>
      </w:r>
    </w:p>
    <w:p>
      <w:r>
        <w:t>Querschnittstudie an 460 schwangeren Frauen in einer Tertiärklinik Bangladesch (Sept.–Okt. 2025) zur Mütter- und Kindergesundheit, Geburtsvertauf und Kindersterblichkeit.</w:t>
      </w:r>
    </w:p>
    <w:p>
      <w:r>
        <w:rPr>
          <w:b/>
        </w:rPr>
        <w:t xml:space="preserve">Ergebnis: </w:t>
      </w:r>
      <w:r>
        <w:t>Mittleres Alter 26,56±4,7 Jahre. 97,2 % fütterten Kolostrum, 90,2 % impften Babys vollständig. 5,2 % der Familien verloren Kinder &lt;5 Jahre (Pneumonie, Durchfall, unbekannte Ursachen). Mittlere Zahl Schwangerenvisiten 3,48±2,08; 4,6 % keine Visite. 73,3 % entbanden in Kliniken, aber 57,2 % benötigten Sectio caesarea. 73,7 % wurden von Ärzten entbunden. Lücken: Unvollständige Schwangerenbetreuung, hohe Sectio-Rate, Kindersterblichkeit.</w:t>
      </w:r>
    </w:p>
    <w:p>
      <w:r>
        <w:rPr>
          <w:b/>
          <w:sz w:val="19"/>
        </w:rPr>
        <w:t xml:space="preserve">Übertragbarkeit: </w:t>
      </w:r>
      <w:r>
        <w:rPr>
          <w:sz w:val="19"/>
        </w:rPr>
        <w:t>Bangladesch mit begrenztem Übertragungspotential auf Deutschland; zeigt aber geschlechtergetrenntes Ergebnis-Tracking in Niedrig-Einkommensländer.</w:t>
      </w:r>
    </w:p>
    <w:p>
      <w:r>
        <w:rPr>
          <w:color w:val="5A7D3A"/>
          <w:sz w:val="18"/>
        </w:rPr>
        <w:t>https://pubmed.ncbi.nlm.nih.gov/42811831/</w:t>
      </w:r>
    </w:p>
    <w:p>
      <w:pPr>
        <w:pStyle w:val="Heading2"/>
      </w:pPr>
      <w:r>
        <w:t>Diabetes und Suizidrisiko bei schwarzen Männern: Systematische Lücke in Evidenz und Screening</w:t>
      </w:r>
    </w:p>
    <w:p>
      <w:r>
        <w:rPr>
          <w:i/>
          <w:color w:val="666666"/>
          <w:sz w:val="18"/>
        </w:rPr>
        <w:t>Boyd DT et al.  ·  Curr Diab Rep  ·  28.09.2026  ·  PMID 42803858</w:t>
      </w:r>
    </w:p>
    <w:p>
      <w:r>
        <w:t>Narrative Übersichtsarbeit zur Schnittstelle Diabetes, Suizidalität und Rasse/Ethnizität mit Fokus auf schwarze Männer und schwarze sexuelle Minderheiten.</w:t>
      </w:r>
    </w:p>
    <w:p>
      <w:r>
        <w:rPr>
          <w:b/>
        </w:rPr>
        <w:t xml:space="preserve">Ergebnis: </w:t>
      </w:r>
      <w:r>
        <w:t>Zentraler Befund: Evidenzlücke, nicht Beweis multiplikativer Risikoseffekte. Literatur belegt Depression, Diabetes-Distress und Insulinzugang als klinisch relevante Pfade. Kein Study identifiziert Suizidalität spezifisch bei schwarzen Männern mit Diabetes oder schwarzen sexuellen Minderheiten mit Diabetes. Screening-Instrumente (PHQ-9, Diabetes Distress Scale) sind nicht populationsspezifisch validiert. Empfehlung: Kulturell responsive Psychosozial-Exploration, direkte Suizidalitätserfassung, kolaboratives Sicherheitsplanning und integrierte Verhaltensstützung.</w:t>
      </w:r>
    </w:p>
    <w:p>
      <w:r>
        <w:rPr>
          <w:b/>
          <w:sz w:val="19"/>
        </w:rPr>
        <w:t xml:space="preserve">Übertragbarkeit: </w:t>
      </w:r>
      <w:r>
        <w:rPr>
          <w:sz w:val="19"/>
        </w:rPr>
        <w:t>USA, aber Evidenzlücke und Screening-Validierungsbedarf sind universell relevant.</w:t>
      </w:r>
    </w:p>
    <w:p>
      <w:r>
        <w:rPr>
          <w:color w:val="5A7D3A"/>
          <w:sz w:val="18"/>
        </w:rPr>
        <w:t>https://pubmed.ncbi.nlm.nih.gov/42803858/</w:t>
      </w:r>
    </w:p>
    <w:p>
      <w:pPr>
        <w:pStyle w:val="Heading2"/>
      </w:pPr>
      <w:r>
        <w:t>Kaumuskulatur und Körperfett: Geschlechtsabhängige biologische Assoziationen</w:t>
      </w:r>
    </w:p>
    <w:p>
      <w:r>
        <w:rPr>
          <w:i/>
          <w:color w:val="666666"/>
          <w:sz w:val="18"/>
        </w:rPr>
        <w:t>Meisel P et al.  ·  J Oral Biosci  ·  16.09.2026  ·  PMID 42748522</w:t>
      </w:r>
    </w:p>
    <w:p>
      <w:r>
        <w:t>Querschnittstudie an 665 Erwachsenen (30–93 Jahre, SHIP-Kohorte Deutschland), die Geschlechtsunterschiede in der Assoziation von Kaumuskulatur, Zahnbestand, Parodontitis und Adipositas mit MRT untersucht.</w:t>
      </w:r>
    </w:p>
    <w:p>
      <w:r>
        <w:rPr>
          <w:b/>
        </w:rPr>
        <w:t xml:space="preserve">Ergebnis: </w:t>
      </w:r>
      <w:r>
        <w:t>Massetermuskelfläche war mit BMI und Taillenumfang bei beiden Geschlechtern assoziiert (beide p&lt;0,001). Bei Männern war medialer Pterygoidmuskel primär mit Adipositas assoziiert (p&lt;0,001). Klinischer Attachmentverlust war negativ mit Adipositas nur bei Frauen assoziiert. Über 10 Jahre stiegen BMI und Taillenumfang mit Masseter- und medialem Pterygoidmuskel bei Männern (p&lt;0,001), nicht bei Frauen (p&gt;0,30).</w:t>
      </w:r>
    </w:p>
    <w:p>
      <w:r>
        <w:rPr>
          <w:b/>
          <w:sz w:val="19"/>
        </w:rPr>
        <w:t xml:space="preserve">Übertragbarkeit: </w:t>
      </w:r>
      <w:r>
        <w:rPr>
          <w:sz w:val="19"/>
        </w:rPr>
        <w:t>Deutsche Populationsdaten (SHIP), vergleichbare Messmethoden und Körperzusammensetzung.</w:t>
      </w:r>
    </w:p>
    <w:p>
      <w:r>
        <w:rPr>
          <w:color w:val="5A7D3A"/>
          <w:sz w:val="18"/>
        </w:rPr>
        <w:t>https://pubmed.ncbi.nlm.nih.gov/42748522/</w:t>
      </w:r>
    </w:p>
    <w:p>
      <w:pPr>
        <w:pStyle w:val="Heading2"/>
      </w:pPr>
      <w:r>
        <w:t>Kommunale Gesundheitsungleichheit: Welche Zusammenarbeit wirkt – qualitative Synthese</w:t>
      </w:r>
    </w:p>
    <w:p>
      <w:r>
        <w:rPr>
          <w:i/>
          <w:color w:val="666666"/>
          <w:sz w:val="18"/>
        </w:rPr>
        <w:t>Thomson LJM et al.  ·  Front Public Health  ·  29.05.2026  ·  PMID 42293618</w:t>
      </w:r>
    </w:p>
    <w:p>
      <w:r>
        <w:t>Thematische Synthese von Fokusgruppendaten und Fragebogenergebnissen aus dreiphasigem UK-Programm ‚Mobilizing Community Assets to Tackle Health Inequalities'.</w:t>
      </w:r>
    </w:p>
    <w:p>
      <w:r>
        <w:rPr>
          <w:b/>
        </w:rPr>
        <w:t xml:space="preserve">Ergebnis: </w:t>
      </w:r>
      <w:r>
        <w:t>Sechs übergeordnete Themen identifiziert: Beziehungsaufbau, multidisziplinäre Zusammenarbeit und Schulung/Kapazitätsaufbau waren zentral für sektorübergreifende Erfolge. Integrierte Versorgungsansätze, innovative kreative Gesundheitslösungen und Strategien zur Verstetigung (Scaling-up) waren zusätzliche Erfolgsfaktoren. Weniger konsistent, aber kontextabhängig wirksam: Bewusstseinsschärfung zu Armut, Adressierung sozialer Determinanten, Verhaltensprävention und Befähigung zu eigenverantwortlichen Gesundheitsentscheidungen.</w:t>
      </w:r>
    </w:p>
    <w:p>
      <w:r>
        <w:rPr>
          <w:b/>
          <w:sz w:val="19"/>
        </w:rPr>
        <w:t xml:space="preserve">Übertragbarkeit: </w:t>
      </w:r>
      <w:r>
        <w:rPr>
          <w:sz w:val="19"/>
        </w:rPr>
        <w:t>UK-Studie, aber Kooperationsmodelle sind auf deutsches kommunales Versorgungssystem übertragbar.</w:t>
      </w:r>
    </w:p>
    <w:p>
      <w:r>
        <w:rPr>
          <w:color w:val="5A7D3A"/>
          <w:sz w:val="18"/>
        </w:rPr>
        <w:t>https://pubmed.ncbi.nlm.nih.gov/42293618/</w:t>
      </w:r>
    </w:p>
    <w:p>
      <w:pPr>
        <w:pStyle w:val="Heading1"/>
      </w:pPr>
      <w:r>
        <w:t>Aufgenommen am 02.10.2026</w:t>
      </w:r>
    </w:p>
    <w:p>
      <w:pPr>
        <w:pStyle w:val="Heading2"/>
      </w:pPr>
      <w:r>
        <w:t>Geschlechterunterschiede in sekundärer Prävention nach Herzinfarkt bleiben bestehen</w:t>
      </w:r>
    </w:p>
    <w:p>
      <w:r>
        <w:rPr>
          <w:i/>
          <w:color w:val="666666"/>
          <w:sz w:val="18"/>
        </w:rPr>
        <w:t>Berther L et al.  ·  Swiss Med Wkly  ·  24.09.2026  ·  PMID 42821875</w:t>
      </w:r>
    </w:p>
    <w:p>
      <w:r>
        <w:t>Schweizer Register mit 34.612 Herzinfarkt-Patienten (2003-2022) untersuchte, ob Frauen und Männer unterschiedlich oft alle fünf Leitlinien-Medikamente zur Sekundärprävention erhielten.</w:t>
      </w:r>
    </w:p>
    <w:p>
      <w:r>
        <w:rPr>
          <w:b/>
        </w:rPr>
        <w:t xml:space="preserve">Ergebnis: </w:t>
      </w:r>
      <w:r>
        <w:t>Frauen erhielten seltener optimale medikamentöse Therapie als Männer (51% vs. 60%, p&lt;0,001), besonders markant bei unter 50-Jährigen. Multivariabel zeigte Frauensein einen OR von 0,90 (95%-KI: 0,85-0,95) für vollständige Therapie. Über 20 Jahre stieg die Rate insgesamt (36% auf 60%), der Geschlechtergap blieb aber (0,7-14% Differenz) bestehen. Ursache: Zuschreibung durch Behandelnde, nicht biologisch begründet.</w:t>
      </w:r>
    </w:p>
    <w:p>
      <w:r>
        <w:rPr>
          <w:b/>
          <w:sz w:val="19"/>
        </w:rPr>
        <w:t xml:space="preserve">Übertragbarkeit: </w:t>
      </w:r>
      <w:r>
        <w:rPr>
          <w:sz w:val="19"/>
        </w:rPr>
        <w:t>Schweiz, vergleichbares System; Dokumentation auf Zelleben. AWMF-Leitlinien adressieren Geschlecht in ACS nicht.</w:t>
      </w:r>
    </w:p>
    <w:p>
      <w:r>
        <w:rPr>
          <w:color w:val="5A7D3A"/>
          <w:sz w:val="18"/>
        </w:rPr>
        <w:t>https://pubmed.ncbi.nlm.nih.gov/42821875/</w:t>
      </w:r>
    </w:p>
    <w:p>
      <w:pPr>
        <w:pStyle w:val="Heading2"/>
      </w:pPr>
      <w:r>
        <w:t>Psychische Gesundheit in Kanada: Junge Frauen zeigen stärkeren Anstieg, junge Männer größere relative Zunahme</w:t>
      </w:r>
    </w:p>
    <w:p>
      <w:r>
        <w:rPr>
          <w:i/>
          <w:color w:val="666666"/>
          <w:sz w:val="18"/>
        </w:rPr>
        <w:t>Zulyniak S et al.  ·  Epidemiol Psychiatr Sci  ·  01.10.2026  ·  PMID 42820260</w:t>
      </w:r>
    </w:p>
    <w:p>
      <w:r>
        <w:t>Kanadische Metaregression mit Daten aus Community-Health-Surveys 2003-2024 (alle Jahre kombiniert) untersuchte Trends in Prävalenz psychischer Störungen nach Alter und Geschlecht in drei Altersgruppen (12-29, 30-64, 65+ Jahre).</w:t>
      </w:r>
    </w:p>
    <w:p>
      <w:r>
        <w:rPr>
          <w:b/>
        </w:rPr>
        <w:t xml:space="preserve">Ergebnis: </w:t>
      </w:r>
      <w:r>
        <w:t>Alle psychischen-Gesundheits-Outcomes stiegen 2003-2024 in allen Altersgruppen beider Geschlechter. Bei Adoleszenten/jungen Erwachsenen erhöhte sich die Prävalenz diagnostizierter Stimmungsstörungen bei Männern von 2,37% (95%-KI: 2,03-2,78) auf 12,58% (95%-KI: 10,37-15,19), bei Frauen von 5,23% (95%-KI: 4,76-5,74) auf 21,49% (95%-KI: 18,97-24,24). Junge Frauen zeigten größere absolute Zunahmen, junge Männer größere relative Zuwächse. Quadratische Trendfunktionen signifikant für alle Outcome-/Alter-/Geschlechts-Kombinationen. Ursache: wahrscheinlich psychosozial/strukturell (Pandemiestress, Digitalisierung), nicht biologisch.</w:t>
      </w:r>
    </w:p>
    <w:p>
      <w:r>
        <w:rPr>
          <w:b/>
          <w:sz w:val="19"/>
        </w:rPr>
        <w:t xml:space="preserve">Übertragbarkeit: </w:t>
      </w:r>
      <w:r>
        <w:rPr>
          <w:sz w:val="19"/>
        </w:rPr>
        <w:t>Kanada, ähnlicher Sozialversicherungsauftrag, aber nicht europäisch; Ergebnis unabhängig von Gesundheitssystem.</w:t>
      </w:r>
    </w:p>
    <w:p>
      <w:r>
        <w:rPr>
          <w:color w:val="5A7D3A"/>
          <w:sz w:val="18"/>
        </w:rPr>
        <w:t>https://pubmed.ncbi.nlm.nih.gov/42820260/</w:t>
      </w:r>
    </w:p>
    <w:p>
      <w:pPr>
        <w:pStyle w:val="Heading2"/>
      </w:pPr>
      <w:r>
        <w:t>Suizidgedanken bei chinesischen Jugendlichen: Sexuelle Minderheiten – Unterschiede erklären sich durch Belastung und Reaktion</w:t>
      </w:r>
    </w:p>
    <w:p>
      <w:r>
        <w:rPr>
          <w:i/>
          <w:color w:val="666666"/>
          <w:sz w:val="18"/>
        </w:rPr>
        <w:t>Li Z et al.  ·  Epidemiol Psychiatr Sci  ·  01.10.2026  ·  PMID 42820259</w:t>
      </w:r>
    </w:p>
    <w:p>
      <w:r>
        <w:t>Hongkong: Dekompositionsanalyse bei 6.883 Adoleszenten (Schulquerschnitt 2021) zerlegt die Disparität in Suizidgedanken zwischen heterosexuellen und sexuellen Minderheits-Jugendlichen in Unterschiede in Risiko-Exposition versus Risiko-Reaktion. Stratifiziert nach biologischem Geschlecht.</w:t>
      </w:r>
    </w:p>
    <w:p>
      <w:r>
        <w:rPr>
          <w:b/>
        </w:rPr>
        <w:t xml:space="preserve">Ergebnis: </w:t>
      </w:r>
      <w:r>
        <w:t>31-45% der Disparität in Suizidgedanken zwischen heterosexuellen und sexuellen Minderheits-Jugendlichen entfielen auf Unterschiede in der Exposition gegenüber Risiko- und Schutzfaktoren, 55-69% auf unterschiedliche Reaktionen auf diese Faktoren oder unbeobachtete Faktoren. Familienwahrnehmung spielte die substantiellste Rolle. Körperunzufriedenheit, Cybermobbing, sexuelle Belästigung und akademische Leistung waren über Geschlecht und sexuelle Orientierung hinweg assoziiert mit Suizidgedanken. Geschlechtsspezifische Muster beobachtet. Ursache klar: Zugang zu Unterstützung und psychosoziale Belastung, nicht biologisch.</w:t>
      </w:r>
    </w:p>
    <w:p>
      <w:r>
        <w:rPr>
          <w:b/>
          <w:sz w:val="19"/>
        </w:rPr>
        <w:t xml:space="preserve">Übertragbarkeit: </w:t>
      </w:r>
      <w:r>
        <w:rPr>
          <w:sz w:val="19"/>
        </w:rPr>
        <w:t>Hongkong/China, nicht europäisch; Mechanismus (Zugang, Stressexposition) systemunabhängig, aber kulturelle Daten für Deutschland nicht verfügbar.</w:t>
      </w:r>
    </w:p>
    <w:p>
      <w:r>
        <w:rPr>
          <w:color w:val="5A7D3A"/>
          <w:sz w:val="18"/>
        </w:rPr>
        <w:t>https://pubmed.ncbi.nlm.nih.gov/42820259/</w:t>
      </w:r>
    </w:p>
    <w:p>
      <w:pPr>
        <w:pStyle w:val="Heading2"/>
      </w:pPr>
      <w:r>
        <w:t>Diabetische Retinopathie: Frauen zeigen Schwellenwert-Effekt, Männer lineares Risiko</w:t>
      </w:r>
    </w:p>
    <w:p>
      <w:r>
        <w:rPr>
          <w:i/>
          <w:color w:val="666666"/>
          <w:sz w:val="18"/>
        </w:rPr>
        <w:t>Long Q et al.  ·  Front Endocrinol (Lausanne)  ·  16.09.2026  ·  PMID 42818664</w:t>
      </w:r>
    </w:p>
    <w:p>
      <w:r>
        <w:t>Querschnittstudie bei 1.090 Typ-2-Diabetikern (433 Männer, 657 Frauen) aus China untersuchte, ob die Dosis-Wirkungsbeziehung zwischen Albumin-korrigiertem Fruktosamin (kurzzeitiger Blutzucker-Marker) und Retinopathie nach Geschlecht unterschiedlich ist.</w:t>
      </w:r>
    </w:p>
    <w:p>
      <w:r>
        <w:rPr>
          <w:b/>
        </w:rPr>
        <w:t xml:space="preserve">Ergebnis: </w:t>
      </w:r>
      <w:r>
        <w:t>Bei beiden Geschlechtern stieg das Retinopathie-Risiko pro 10 μmol/g Fruktosamin (Männer: OR 1,83 [95%-KI 1,39-2,41], Frauen: OR 1,58 [95%-KI 1,26-1,99]). Aber die Form der Beziehung unterschied sich: Männer zeigten linearen Verlauf (p=0,751), Frauen einen Schwellenwert nahe 62,0 μmol/g mit signifikanter Nichtlinearität (p&lt;0,001). Unterhalb des Schwellenwerts war das Risiko erhöht (OR 2,57), oberhalb nicht mehr signifikant (OR 1,29; p für Interaktion &lt;0,001). Ursache biologisch (Hormonal-/Immuneffekte), vermutet durch Autoren.</w:t>
      </w:r>
    </w:p>
    <w:p>
      <w:r>
        <w:rPr>
          <w:b/>
          <w:sz w:val="19"/>
        </w:rPr>
        <w:t xml:space="preserve">Übertragbarkeit: </w:t>
      </w:r>
      <w:r>
        <w:rPr>
          <w:sz w:val="19"/>
        </w:rPr>
        <w:t>China, nicht europäisch; biologische Plausibilität unabhängig von System, aber keine deutschen Daten.</w:t>
      </w:r>
    </w:p>
    <w:p>
      <w:r>
        <w:rPr>
          <w:color w:val="5A7D3A"/>
          <w:sz w:val="18"/>
        </w:rPr>
        <w:t>https://pubmed.ncbi.nlm.nih.gov/42818664/</w:t>
      </w:r>
    </w:p>
    <w:p>
      <w:pPr>
        <w:pStyle w:val="Heading2"/>
      </w:pPr>
      <w:r>
        <w:t>Geschlechtsbias in niedrigwertigen Praktiken in der Primärversorgung: Überblick über europäische und spanische Studien</w:t>
      </w:r>
    </w:p>
    <w:p>
      <w:r>
        <w:rPr>
          <w:i/>
          <w:color w:val="666666"/>
          <w:sz w:val="18"/>
        </w:rPr>
        <w:t>Obón-Azuara B et al.  ·  Aten Primaria  ·  23.09.2026  ·  PMID 42777465</w:t>
      </w:r>
    </w:p>
    <w:p>
      <w:r>
        <w:t>Scoping-Review (PRISMA-ScR) der Spanischen Gesellschaft analysierte 250 Studien (1999-2026) zur Frage, ob geschlechtsspezifische Unterschiede in Low-Value Practices (unnötige oder schädliche Maßnahmen) in der Primärversorgung existieren. Schwerpunkt auf spanische Kohorten (APEAS, EVADUR).</w:t>
      </w:r>
    </w:p>
    <w:p>
      <w:r>
        <w:rPr>
          <w:b/>
        </w:rPr>
        <w:t xml:space="preserve">Ergebnis: </w:t>
      </w:r>
      <w:r>
        <w:t>Geschlecht ist ein relevanter Determinant dafür, welche Low-Value Practices auftreten, für wen, und mit welchen Folgen. Evidenz konzentriert sich auf unangemessene Psychopharmaka-Verordnung (n=181 Studien) und exzessive diagnostische Tests (n=124). Geschlechtergetrenntes Screening, epidemiologische Berichte und Überweisungen deutlich unterrepräsentiert. Keine spanische Gründungsstudie hat Geschlecht als primären Determinanten analysiert. Empfehlung: Geschlechtsgetrennte Auswertung und SAGER-Richtlinien obligatorisch für sichere Primärversorgung. Mechanismus: Zuschreibung durch Behandelnde + Zugangsunterschiede + Diagnoseverzerrung.</w:t>
      </w:r>
    </w:p>
    <w:p>
      <w:r>
        <w:rPr>
          <w:b/>
          <w:sz w:val="19"/>
        </w:rPr>
        <w:t xml:space="preserve">Übertragbarkeit: </w:t>
      </w:r>
      <w:r>
        <w:rPr>
          <w:sz w:val="19"/>
        </w:rPr>
        <w:t>Spanien, deutschsprachiger Kulturkreis, vergleichbares Primärversorgungs-System; deutsche Studien als Vergleich einbezogen.</w:t>
      </w:r>
    </w:p>
    <w:p>
      <w:r>
        <w:rPr>
          <w:color w:val="5A7D3A"/>
          <w:sz w:val="18"/>
        </w:rPr>
        <w:t>https://pubmed.ncbi.nlm.nih.gov/42777465/</w:t>
      </w:r>
    </w:p>
    <w:p>
      <w:pPr>
        <w:pStyle w:val="Heading2"/>
      </w:pPr>
      <w:r>
        <w:t>Geschlechterunterschiede in französischer Orthopädiechirurgie: Diskriminierung, Zugang zu Operationen, Karriere</w:t>
      </w:r>
    </w:p>
    <w:p>
      <w:r>
        <w:rPr>
          <w:i/>
          <w:color w:val="666666"/>
          <w:sz w:val="18"/>
        </w:rPr>
        <w:t>Cambon A et al.  ·  Orthop Traumatol Surg Res  ·  28.07.2026  ·  PMID 42521121</w:t>
      </w:r>
    </w:p>
    <w:p>
      <w:r>
        <w:t>Französische Querschnittsumfrage mit 1.053 Orthopädie-Chirurgen/-innen und Assistenten/-innen (von ~4.100 angeschrieben, 25% Rücklauf, 35% Frauen; Daten anonym erhoben) untersuchte Geschlechterunterschiede in Karriereverläufen, Berufserfahrung und wahrgenommenen Barrieren.</w:t>
      </w:r>
    </w:p>
    <w:p>
      <w:r>
        <w:rPr>
          <w:b/>
        </w:rPr>
        <w:t xml:space="preserve">Ergebnis: </w:t>
      </w:r>
      <w:r>
        <w:t>Frauen berichteten stärker von Diskriminierung durch Vorgesetzte (188/368 [51,1%] vs. 25/685 [3,6%]; adjustiertes OR 27,3; 95%-KI: 16,18-48,61; p&lt;0,001), herabsetzende Bemerkungen zu Elternschaft (OR 4,87; 95%-KI: 3,37-6,98; p&lt;0,0001) und sexuelle Belästigung (110/368 [29,9%] vs. 31/685 [4,5%]; OR 9,25; 95%-KI: 6-14,02; p&lt;0,001). Sie berichteten von weniger Operationserfahrung und mehr nicht-klinischen Aufgaben in der Ausbildung (172/368 [46,7%] vs. 173/685 [25,3%]; OR 2,6; 95%-KI: 1,97-3,37; p&lt;0,0001). Frauen seltener in Führungspositionen trotz ähnlicher akademischer Beteiligung. Stark disparate Work-Life-Balance: Frauen häufiger ledig (94/368 [25,5%] vs. 43/685 [6,3%]; OR 5,07; 95%-KI: 3,42-7,49; p&lt;0,0001), kinderlos (166/368 [45,1%] vs. 114/685 [16,6%]; OR 4,23; 95%-KI: 3,18-5,60) und berichten höhere Haushaltsverantwortung. Elternschaft häufiger als Karrierehindernis genannt. Ursache: strukturelle Diskriminierung und Zugangsbarrieren in der Ausbildung, nicht biologisch.</w:t>
      </w:r>
    </w:p>
    <w:p>
      <w:r>
        <w:rPr>
          <w:b/>
          <w:sz w:val="19"/>
        </w:rPr>
        <w:t xml:space="preserve">Übertragbarkeit: </w:t>
      </w:r>
      <w:r>
        <w:rPr>
          <w:sz w:val="19"/>
        </w:rPr>
        <w:t>Frankreich, vergleichbares System, deutsche Chirurgie vergleichbar organisiert; Befund auf Deutschland übertragbar.</w:t>
      </w:r>
    </w:p>
    <w:p>
      <w:r>
        <w:rPr>
          <w:color w:val="5A7D3A"/>
          <w:sz w:val="18"/>
        </w:rPr>
        <w:t>https://pubmed.ncbi.nlm.nih.gov/42521121/</w:t>
      </w:r>
    </w:p>
    <w:p>
      <w:pPr>
        <w:pStyle w:val="Heading1"/>
      </w:pPr>
      <w:r>
        <w:t>Aufgenommen am 01.10.2026</w:t>
      </w:r>
    </w:p>
    <w:p>
      <w:pPr>
        <w:pStyle w:val="Heading2"/>
      </w:pPr>
      <w:r>
        <w:t>Geburtsbeistand und psychische Gesundheit der Mutter: systematische Übersicht zu Ländern mit niedrigem/mittlerem Einkommen</w:t>
      </w:r>
    </w:p>
    <w:p>
      <w:r>
        <w:rPr>
          <w:i/>
          <w:color w:val="666666"/>
          <w:sz w:val="18"/>
        </w:rPr>
        <w:t>Hameed W et al.  ·  BMJ Open  ·  30.09.2026  ·  PMID 42816075</w:t>
      </w:r>
    </w:p>
    <w:p>
      <w:r>
        <w:t>Systematische Übersicht von 10 Studien (6 Beobachtungs-, 4 experimentell) zu Effekten von persönlichen Geburtsbegleitern auf Angst und Depression unter der Geburt und postpartal.</w:t>
      </w:r>
    </w:p>
    <w:p>
      <w:r>
        <w:rPr>
          <w:b/>
        </w:rPr>
        <w:t xml:space="preserve">Ergebnis: </w:t>
      </w:r>
      <w:r>
        <w:t>Experimentelle Studien (primär an Erstgebärenden, unkomplizierte Schwangerschaften): Relative Änderung der Angst zwischen Intervention und Kontrolle –0,85% bis +120%, die meisten p&lt;0,001 zugunsten Intervention; für depressive Symptome 4,5% und 22,8%, statistisch nicht signifikant. Beobachtungsstudien (außer zwei) zeigten keine statistisch signifikante Beziehung, Richtung aber positiv assoziiert. Eine Studie fand: Begleitungsmerkmale (Art, Intensität) erhöhten Angst-/Depressions-Chancen (OR 2,86; 95%-CI 1,52–5,39). Zeigt: Effekt abhängig von Parität, Komplikationsstatus, Begleitungsqualität – nicht einfacher biologischer Schutz.</w:t>
      </w:r>
    </w:p>
    <w:p>
      <w:r>
        <w:rPr>
          <w:b/>
          <w:sz w:val="19"/>
        </w:rPr>
        <w:t xml:space="preserve">Übertragbarkeit: </w:t>
      </w:r>
      <w:r>
        <w:rPr>
          <w:sz w:val="19"/>
        </w:rPr>
        <w:t>Länder mit niedrigem/mittlerem Einkommen – Zugangsmuster unterscheiden sich von Deutschland; übertragbar nur Evidenzstruktur</w:t>
      </w:r>
    </w:p>
    <w:p>
      <w:r>
        <w:rPr>
          <w:color w:val="5A7D3A"/>
          <w:sz w:val="18"/>
        </w:rPr>
        <w:t>https://pubmed.ncbi.nlm.nih.gov/42816075/</w:t>
      </w:r>
    </w:p>
    <w:p>
      <w:pPr>
        <w:pStyle w:val="Heading2"/>
      </w:pPr>
      <w:r>
        <w:t>Genitale Atrophie bei testosterontherapierten Transmaskulinen: Symptome, Behandlungshindernisse</w:t>
      </w:r>
    </w:p>
    <w:p>
      <w:r>
        <w:rPr>
          <w:i/>
          <w:color w:val="666666"/>
          <w:sz w:val="18"/>
        </w:rPr>
        <w:t>Tordoff DM et al.  ·  J Sex Med  ·  14.09.2026  ·  PMID 42814583</w:t>
      </w:r>
    </w:p>
    <w:p>
      <w:r>
        <w:t>Qualitative Studie mit 28 testosterontherapierten transmaskulinen Erwachsenen zu Symptomerleben genitaler Atrophie, Behandlungspräferenzen und Versorgungsbarrieren.</w:t>
      </w:r>
    </w:p>
    <w:p>
      <w:r>
        <w:rPr>
          <w:b/>
        </w:rPr>
        <w:t xml:space="preserve">Ergebnis: </w:t>
      </w:r>
      <w:r>
        <w:t>93% hatten von genitaler Atrophie gehört, 64% erlebten diese im Leben (46% im letzten Jahr); Symptome von Trockenheit bis zu chronischen Schmerzen beim Gehen/Sitzen. 79% kannten topisches vaginales Östrogen, 43% hatten es verwendet, Symptomlinderung in den meisten Fällen. Creme häufigst verordnet, aber unbeliebt wegen Unordentlichkeit, Dysphorie, sexueller Beeinträchtigung; Zäpfchen/Ring bevorzugt. Hauptbarrieren: Anbieter-Wissenslücken, Symptomverharmlosung, Verweigerung topischen Östrogens, Versicherungsablehnungen, Pharmaka-Stigma. Zeigt: Versorgungsproblem besteht in Ausbildung, Versicherungspolitik und evidenzbasierter Diagnostik, nicht biologischer Unmöglichkeit.</w:t>
      </w:r>
    </w:p>
    <w:p>
      <w:r>
        <w:rPr>
          <w:b/>
          <w:sz w:val="19"/>
        </w:rPr>
        <w:t xml:space="preserve">Übertragbarkeit: </w:t>
      </w:r>
      <w:r>
        <w:rPr>
          <w:sz w:val="19"/>
        </w:rPr>
        <w:t>USA - Versorgungsbarrieren teilweise übertragbar; in Deutschland AWMF-Leitlinien zu Geschlechtsangleichung heteronorm, Evidenzlücke größer</w:t>
      </w:r>
    </w:p>
    <w:p>
      <w:r>
        <w:rPr>
          <w:color w:val="5A7D3A"/>
          <w:sz w:val="18"/>
        </w:rPr>
        <w:t>https://pubmed.ncbi.nlm.nih.gov/42814583/</w:t>
      </w:r>
    </w:p>
    <w:p>
      <w:pPr>
        <w:pStyle w:val="Heading2"/>
      </w:pPr>
      <w:r>
        <w:t>Gebärmutterhalskrebs-Sterblichkeit USA: Persistent höher bei Schwarzen Frauen und ländlichen Regionen</w:t>
      </w:r>
    </w:p>
    <w:p>
      <w:r>
        <w:rPr>
          <w:i/>
          <w:color w:val="666666"/>
          <w:sz w:val="18"/>
        </w:rPr>
        <w:t>Liu J et al.  ·  Front Public Health  ·  03.09.2026  ·  PMID 42813077</w:t>
      </w:r>
    </w:p>
    <w:p>
      <w:r>
        <w:t>USA-Analyse der Gebärmutterhalskrebs-Sterblichkeit 1999–2023 nach Rasse, Wohnort, Region zeigt anhaltende Ungleichheit trotz Gesamtrückgang.</w:t>
      </w:r>
    </w:p>
    <w:p>
      <w:r>
        <w:rPr>
          <w:b/>
        </w:rPr>
        <w:t xml:space="preserve">Ergebnis: </w:t>
      </w:r>
      <w:r>
        <w:t>Mortalitätsrate sank von 4,37 auf 2,09 pro 100.000 Frauen (AAPC –3,27%; 95%-CI –3,81 bis –2,73), aber Schwarze Frauen durchgängig höhere Sterblichkeit; ländliche Gebiete erhöhte Raten; Südstaaten konsistent höher, Nordosten mit größtem Rückgang (AAPC –4,23%). Geografische Variation: höchstbelastete Staaten 2–4× höher als niedrigbelastete. Ursachen: Zugangsungleichheit zu Screening, HPV-Impfung, Behandlung. Zeigt Versorgungsbarrieren (geografisch, sozioökonomisch), nicht primär biologische Unterschiede.</w:t>
      </w:r>
    </w:p>
    <w:p>
      <w:r>
        <w:rPr>
          <w:b/>
          <w:sz w:val="19"/>
        </w:rPr>
        <w:t xml:space="preserve">Übertragbarkeit: </w:t>
      </w:r>
      <w:r>
        <w:rPr>
          <w:sz w:val="19"/>
        </w:rPr>
        <w:t>USA - Gesundheitssystem Hürden überlagern Unterschiede; übertragbar nur Screening-Strategien, nicht Zugangsverhältnisse</w:t>
      </w:r>
    </w:p>
    <w:p>
      <w:r>
        <w:rPr>
          <w:color w:val="5A7D3A"/>
          <w:sz w:val="18"/>
        </w:rPr>
        <w:t>https://pubmed.ncbi.nlm.nih.gov/42813077/</w:t>
      </w:r>
    </w:p>
    <w:p>
      <w:pPr>
        <w:pStyle w:val="Heading2"/>
      </w:pPr>
      <w:r>
        <w:t>Behinderung in Südafrika: Geschlechtslücke persistent, Gesundheitszugang stagniert</w:t>
      </w:r>
    </w:p>
    <w:p>
      <w:r>
        <w:rPr>
          <w:i/>
          <w:color w:val="666666"/>
          <w:sz w:val="18"/>
        </w:rPr>
        <w:t>Sithole T et al.  ·  Front Public Health  ·  15.09.2026  ·  PMID 42812274</w:t>
      </w:r>
    </w:p>
    <w:p>
      <w:r>
        <w:t>Südafrikanische Trendanalyse 2020–2024 aus Haushaltsumfragen zeigt persistente Geschlechtsunterschiede in Behinderungsprävalenz und stagnierendem Zugang.</w:t>
      </w:r>
    </w:p>
    <w:p>
      <w:r>
        <w:rPr>
          <w:b/>
        </w:rPr>
        <w:t xml:space="preserve">Ergebnis: </w:t>
      </w:r>
      <w:r>
        <w:t>Behinderungsprävalenz national 4,5–5,0%, kein signifikanter linearer Trend (p=0,49). Frauen durchgehend signifikant höhere Prävalenz als Männer in jedem Umfragejahr (p≤0,007). Nordkap höchste Prävalenz 2020 und 2024; Eastern Cape größter weiblicher Anstieg. Öffentliche Einrichtungen bleiben erste Anlaufstelle (72–73%). Krankenversicherungsabdeckung zeigte keinen signifikanten linearen Trend (p=0,72), stieg aber 2021 signifikant und fiel bis 2024 (p=0,004). Zeigt: Geschlechtslücke ist robuster statistischer Befund (bleiben unter Design-Effekt-Sensitivitätsanalyse), strukturelle Ungleichheit besteht fort trotz Gesundheitspolitik.</w:t>
      </w:r>
    </w:p>
    <w:p>
      <w:r>
        <w:rPr>
          <w:b/>
          <w:sz w:val="19"/>
        </w:rPr>
        <w:t xml:space="preserve">Übertragbarkeit: </w:t>
      </w:r>
      <w:r>
        <w:rPr>
          <w:sz w:val="19"/>
        </w:rPr>
        <w:t>Südafrika - vergleichbare Routinedaten, Zugangsstrukturen unterscheiden sich von Deutschland deutlich</w:t>
      </w:r>
    </w:p>
    <w:p>
      <w:r>
        <w:rPr>
          <w:color w:val="5A7D3A"/>
          <w:sz w:val="18"/>
        </w:rPr>
        <w:t>https://pubmed.ncbi.nlm.nih.gov/42812274/</w:t>
      </w:r>
    </w:p>
    <w:p>
      <w:pPr>
        <w:pStyle w:val="Heading2"/>
      </w:pPr>
      <w:r>
        <w:t>Blutdruck bei Kindheitstraumatisierung: Geschlechtsspezifische Muster in 150.983 deutschen Erwachsenen</w:t>
      </w:r>
    </w:p>
    <w:p>
      <w:r>
        <w:rPr>
          <w:i/>
          <w:color w:val="666666"/>
          <w:sz w:val="18"/>
        </w:rPr>
        <w:t>Thielcke TA et al.  ·  BMC Public Health  ·  09.09.2026  ·  PMID 42811308</w:t>
      </w:r>
    </w:p>
    <w:p>
      <w:r>
        <w:t>Deutsche Kohortenstudie untersucht alters- und geschlechtsspezifische Assoziationen zwischen Kindheitsmisshandlung und Blutdruckergebnissen im Erwachsenenalter.</w:t>
      </w:r>
    </w:p>
    <w:p>
      <w:r>
        <w:rPr>
          <w:b/>
        </w:rPr>
        <w:t xml:space="preserve">Ergebnis: </w:t>
      </w:r>
      <w:r>
        <w:t>Frauen mit hoher kumulativer Kindheitstraumatisierung (≥3 Kategorien) zeigten niedrigere Hypertoniequoten (OR=0,87; 95%-CI 0,80–0,94), Männer nicht signifikant (OR=1,01; 95%-CI 0,91–1,13). Altersabhängige inverse Assoziationen zwischen Kindheitstrauma und Blutdruckmarkern offenbarten geschlechtsspezifische Muster; Effekte konsistenter für Missbrauch als Vernachlässigung. Befund widerspricht Erwartung – biologische Vulnerabilität vs. psychosoziale Coping-Unterschiede ungenügend geklärt.</w:t>
      </w:r>
    </w:p>
    <w:p>
      <w:r>
        <w:rPr>
          <w:b/>
          <w:sz w:val="19"/>
        </w:rPr>
        <w:t xml:space="preserve">Übertragbarkeit: </w:t>
      </w:r>
      <w:r>
        <w:rPr>
          <w:sz w:val="19"/>
        </w:rPr>
        <w:t>Deutschland - NAKO Daten, nationale Routineerfassung, direkter Versorgungsbezug</w:t>
      </w:r>
    </w:p>
    <w:p>
      <w:r>
        <w:rPr>
          <w:color w:val="5A7D3A"/>
          <w:sz w:val="18"/>
        </w:rPr>
        <w:t>https://pubmed.ncbi.nlm.nih.gov/42811308/</w:t>
      </w:r>
    </w:p>
    <w:p>
      <w:pPr>
        <w:pStyle w:val="Heading2"/>
      </w:pPr>
      <w:r>
        <w:t>Polydrug-bedingte Todesfälle bei Frauen höher: Unterschiede in Todesursachen zwischen Geschlechtern</w:t>
      </w:r>
    </w:p>
    <w:p>
      <w:r>
        <w:rPr>
          <w:i/>
          <w:color w:val="666666"/>
          <w:sz w:val="18"/>
        </w:rPr>
        <w:t>Langlamet A et al.  ·  Womens Health Issues  ·  13.08.2026  ·  PMID 42595608</w:t>
      </w:r>
    </w:p>
    <w:p>
      <w:r>
        <w:t>Französische Analyse von 6.068 drogenabhängigen Todesfällen zeigt geschlechtsabhängige Unterschiede in den beteiligten Substanzen mit fokussierten Massnahmen für Frauen.</w:t>
      </w:r>
    </w:p>
    <w:p>
      <w:r>
        <w:rPr>
          <w:b/>
        </w:rPr>
        <w:t xml:space="preserve">Ergebnis: </w:t>
      </w:r>
      <w:r>
        <w:t>Frauen starben zu 39,4% durch Polydrogenmissbrauch vs. Männer 28,4% (p&lt;0,001); Frauen überrepräsentiert bei Todesfällen durch Antidepressiva (p&lt;0,001), Benzodiazepine (p&lt;0,001), Codein (p=0,002), Tramadol (p&lt;0,001). Männer überrepräsentiert bei illegalen Drogen (Heroin p&lt;0,001, Cannabis p&lt;0,001, neue psychoaktive Substanzen p&lt;0,001). Zeigt Geschlechtsunterschied im Anstoßmechanismus: Frauen eher polymedikamentös überdosiert, Männer über illegale Substanzen.</w:t>
      </w:r>
    </w:p>
    <w:p>
      <w:r>
        <w:rPr>
          <w:b/>
          <w:sz w:val="19"/>
        </w:rPr>
        <w:t xml:space="preserve">Übertragbarkeit: </w:t>
      </w:r>
      <w:r>
        <w:rPr>
          <w:sz w:val="19"/>
        </w:rPr>
        <w:t>Frankreich - vergleichbare Sozialversicherung, europäische Routinedaten mit Versorgungsimplikation</w:t>
      </w:r>
    </w:p>
    <w:p>
      <w:r>
        <w:rPr>
          <w:color w:val="5A7D3A"/>
          <w:sz w:val="18"/>
        </w:rPr>
        <w:t>https://pubmed.ncbi.nlm.nih.gov/42595608/</w:t>
      </w:r>
    </w:p>
    <w:p>
      <w:pPr>
        <w:pStyle w:val="Heading1"/>
      </w:pPr>
      <w:r>
        <w:t>Aufgenommen am 30.09.2026</w:t>
      </w:r>
    </w:p>
    <w:p>
      <w:pPr>
        <w:pStyle w:val="Heading2"/>
      </w:pPr>
      <w:r>
        <w:t>Ernährungs- und cardiometabolisches Profil von Transgender-Personen unter Hormontherapie</w:t>
      </w:r>
    </w:p>
    <w:p>
      <w:r>
        <w:rPr>
          <w:i/>
          <w:color w:val="666666"/>
          <w:sz w:val="18"/>
        </w:rPr>
        <w:t>Torres Bravo RH et al.  ·  Rev Med Chil  ·  Juli 2026  ·  PMID 42809785</w:t>
      </w:r>
    </w:p>
    <w:p>
      <w:r>
        <w:t>Beschreibende Querschnittstudie zu ernährungsbezogenen, cardiometabolischen und psychosozialen Profilen von 41 Erwachsenen unter geschlechtsangleichender Hormontherapie in Chile (August 2024–Januar 2025).</w:t>
      </w:r>
    </w:p>
    <w:p>
      <w:r>
        <w:rPr>
          <w:b/>
        </w:rPr>
        <w:t xml:space="preserve">Ergebnis: </w:t>
      </w:r>
      <w:r>
        <w:t>71% Überernährung, 61% abdominale Adipositas; transmaskuline Personen zeigten größere Adiposität und Muskelmasse, transfeminine eher Normalgewicht mit höherem Fettanteil (östrogener Effekt). 19,5% metabolisches Syndrom, 24,4% moderates/hohes kardiovaskuläres Risiko (konzentriert bei Transmaskulinen). Rauchen 51%, 19% suizidale Gedanken. Hohe Frequenz von Überernährung und psychosozialen Bedarf.</w:t>
      </w:r>
    </w:p>
    <w:p>
      <w:r>
        <w:rPr>
          <w:b/>
          <w:sz w:val="19"/>
        </w:rPr>
        <w:t xml:space="preserve">Übertragbarkeit: </w:t>
      </w:r>
      <w:r>
        <w:rPr>
          <w:sz w:val="19"/>
        </w:rPr>
        <w:t>Chile - vergleichbar zu Deutschland bei Mangel geschlechtsspezifischer Daten zu Hormontherapie-Effekten</w:t>
      </w:r>
    </w:p>
    <w:p>
      <w:r>
        <w:rPr>
          <w:color w:val="5A7D3A"/>
          <w:sz w:val="18"/>
        </w:rPr>
        <w:t>https://pubmed.ncbi.nlm.nih.gov/42809785/</w:t>
      </w:r>
    </w:p>
    <w:p>
      <w:pPr>
        <w:pStyle w:val="Heading2"/>
      </w:pPr>
      <w:r>
        <w:t>Staatliche Gleichheitspolitik als Schutzfaktor gegen Suizidalität bei ethnorassisch marginalisierter LGBTQ+-Jugend</w:t>
      </w:r>
    </w:p>
    <w:p>
      <w:r>
        <w:rPr>
          <w:i/>
          <w:color w:val="666666"/>
          <w:sz w:val="18"/>
        </w:rPr>
        <w:t>Taliaferro LA et al.  ·  J Res Adolesc  ·  Dez. 2026  ·  PMID 42808776</w:t>
      </w:r>
    </w:p>
    <w:p>
      <w:r>
        <w:t>Längsschnitt-Pfadanalyse mit 486 ethnorassisch marginalisierten lesbischen, bisexuellen Frauen und nichtbinären Personen (National Queer Women's Mental Health Cohort, durchschnittlich 22 Jahre) zu moderierenden Effekten staatlicher Rassen- und LGBTQ+-Gleichheitspolitik auf Suizidalität über drei Wellen.</w:t>
      </w:r>
    </w:p>
    <w:p>
      <w:r>
        <w:rPr>
          <w:b/>
        </w:rPr>
        <w:t xml:space="preserve">Ergebnis: </w:t>
      </w:r>
      <w:r>
        <w:t>Intersektionale Minoritätsstressoren in Welle 1 führten über Entrapment in Welle 2 zu Suizidideen in Welle 3 (indirekte Assoziation signifikant). Kombinierte staatliche Rassen- und LGBTQ+-Gleichheit moderierte die Assoziation zwischen Minoritätsstress und Entrapment und reduzierte Suizidideen – Effekt besonders wichtig für Personen in Staaten mit niedriger Gleichheit. Strukturelle Maßnahmen zur Bekämpfung von Diskriminierung beeinflussen Suizidrisiken nachweisbar.</w:t>
      </w:r>
    </w:p>
    <w:p>
      <w:r>
        <w:rPr>
          <w:b/>
          <w:sz w:val="19"/>
        </w:rPr>
        <w:t xml:space="preserve">Übertragbarkeit: </w:t>
      </w:r>
      <w:r>
        <w:rPr>
          <w:sz w:val="19"/>
        </w:rPr>
        <w:t>USA - zeigt Struktur-Wirkmechanismus, aber Übernahme auf Deutschland erfordert Daten zu Bundesebenen-Unterschieden</w:t>
      </w:r>
    </w:p>
    <w:p>
      <w:r>
        <w:rPr>
          <w:color w:val="5A7D3A"/>
          <w:sz w:val="18"/>
        </w:rPr>
        <w:t>https://pubmed.ncbi.nlm.nih.gov/42808776/</w:t>
      </w:r>
    </w:p>
    <w:p>
      <w:pPr>
        <w:pStyle w:val="Heading2"/>
      </w:pPr>
      <w:r>
        <w:t>Selbstvertrauen durch Unterricht: Geschlechtsspezifische Unterschiede in der Selbstbewertung dermatologischer Fähigkeiten</w:t>
      </w:r>
    </w:p>
    <w:p>
      <w:r>
        <w:rPr>
          <w:i/>
          <w:color w:val="666666"/>
          <w:sz w:val="18"/>
        </w:rPr>
        <w:t>Heinen I et al.  ·  GMS J Med Educ  ·  15.09.2026  ·  PMID 42807627</w:t>
      </w:r>
    </w:p>
    <w:p>
      <w:r>
        <w:t>Quasi-experimentelle Studie zu geschlechtsspezifischen Unterschieden in der Selbsteinschätzung dermatologischer Kenntnisse bei 142 Medizinstudierenden vor und nach einem Seminar.</w:t>
      </w:r>
    </w:p>
    <w:p>
      <w:r>
        <w:rPr>
          <w:b/>
        </w:rPr>
        <w:t xml:space="preserve">Ergebnis: </w:t>
      </w:r>
      <w:r>
        <w:t>Studentinnen bewerteten ihr Wissen zu Hauttypen (p&lt;0,001, η²=0,078) und diagnostischen Fähigkeiten (p&lt;0,001, η²=0,075) initial signifikant niedriger als Studenten, zeigten aber objektiv gleiche MC-Testergebnisse (p=0,905). Nach dem Seminar verschwanden die Geschlechtsunterschiede. Gezielte Lehre und Feedback können Selbstvertrauen, besonders bei Frauen, fördern.</w:t>
      </w:r>
    </w:p>
    <w:p>
      <w:r>
        <w:rPr>
          <w:b/>
          <w:sz w:val="19"/>
        </w:rPr>
        <w:t xml:space="preserve">Übertragbarkeit: </w:t>
      </w:r>
      <w:r>
        <w:rPr>
          <w:sz w:val="19"/>
        </w:rPr>
        <w:t>Deutsche Hochschuldaten, vergleichbare medizinische Ausbildung, Effekt der Instruktion nachweisbar</w:t>
      </w:r>
    </w:p>
    <w:p>
      <w:r>
        <w:rPr>
          <w:color w:val="5A7D3A"/>
          <w:sz w:val="18"/>
        </w:rPr>
        <w:t>https://pubmed.ncbi.nlm.nih.gov/42807627/</w:t>
      </w:r>
    </w:p>
    <w:p>
      <w:pPr>
        <w:pStyle w:val="Heading2"/>
      </w:pPr>
      <w:r>
        <w:t>Präzisionsprävention von vorzeitiger Herzkrankheit bei afrikanischen Männern: Triple-Risk-Konvergenz-Rahmen</w:t>
      </w:r>
    </w:p>
    <w:p>
      <w:r>
        <w:rPr>
          <w:i/>
          <w:color w:val="666666"/>
          <w:sz w:val="18"/>
        </w:rPr>
        <w:t>Amadi MC  ·  Am J Mens Health  ·  22.09.2026  ·  PMID 42771530</w:t>
      </w:r>
    </w:p>
    <w:p>
      <w:r>
        <w:t>Konzeptuelles Papier, das einen integrierten Rahmen (Triple-Risk Convergence Framework) zu psychosozialen Stressoren, metabolischer Dysfunktion und ererbter Lipoprotein(a)-assoziierter kardiovaskulärer Anfälligkeit bei afrikanischen Männern entwickelt (Synthesearbeit 2019–2026).</w:t>
      </w:r>
    </w:p>
    <w:p>
      <w:r>
        <w:rPr>
          <w:b/>
        </w:rPr>
        <w:t xml:space="preserve">Ergebnis: </w:t>
      </w:r>
      <w:r>
        <w:t>Das TRCF schlägt vor, dass vorzeitige Herzkrankheit bei afrikanischen Männern durch die dynamische Konvergenz von psychosozialen Stressoren, metabolischer Dysfunktion und ererbter kardiovaskulärer Anfälligkeit besser verstanden wird als durch isolierte Einzeldomänen. Diese drei Domänen wirken über den Lebensverlauf in einem sozioökologischen Kontext, der ihre Exposition, Expression und Management prägt. Der Rahmen erweitert konventionelle Präventionsansätze, die sich auf Stoffwechselrisiken konzentrieren. Empfehlungen: Integration psychosozialer Bewertung, metabolischer Auswertung und Stratifikation ererbter Risiken in Präventionsprogramme.</w:t>
      </w:r>
    </w:p>
    <w:p>
      <w:r>
        <w:rPr>
          <w:b/>
          <w:sz w:val="19"/>
        </w:rPr>
        <w:t xml:space="preserve">Übertragbarkeit: </w:t>
      </w:r>
      <w:r>
        <w:rPr>
          <w:sz w:val="19"/>
        </w:rPr>
        <w:t>Sub-Sahara-Afrika - Rahmen nicht deutschland-spezifisch, aber Wirkmechanismus-Ansatz übertragbar</w:t>
      </w:r>
    </w:p>
    <w:p>
      <w:r>
        <w:rPr>
          <w:color w:val="5A7D3A"/>
          <w:sz w:val="18"/>
        </w:rPr>
        <w:t>https://pubmed.ncbi.nlm.nih.gov/42771530/</w:t>
      </w:r>
    </w:p>
    <w:p>
      <w:pPr>
        <w:pStyle w:val="Heading2"/>
      </w:pPr>
      <w:r>
        <w:t>Tabakexposition und neurodegenerative Erkrankungen: Geschlechtsspezifische Unterschiede und das TH-Gen</w:t>
      </w:r>
    </w:p>
    <w:p>
      <w:r>
        <w:rPr>
          <w:i/>
          <w:color w:val="666666"/>
          <w:sz w:val="18"/>
        </w:rPr>
        <w:t>Xu Y et al.  ·  Neurol Sci  ·  22.09.2026  ·  PMID 42768129</w:t>
      </w:r>
    </w:p>
    <w:p>
      <w:r>
        <w:t>Multi-Omics-Analyse der Global Burden of Disease 2021-Daten zu Parkinson- und Alzheimer-Erkrankung bei Tabakexposition mit geschlechtsstratifizierten Vergleichen und Bioinformatik zur Genidentifikation.</w:t>
      </w:r>
    </w:p>
    <w:p>
      <w:r>
        <w:rPr>
          <w:b/>
        </w:rPr>
        <w:t xml:space="preserve">Ergebnis: </w:t>
      </w:r>
      <w:r>
        <w:t>Tabakexposition senkte Parkinson-Last, erhöhte aber Alzheimer-Risiko. Männer stärker betroffen. Markante regionale Heterogenität: Parkinson höchst in Ostasien, Alzheimer in Hocheinkommens-Ländern. Prognosen: Steigende altersstandarisierte Raten (ASR) bei Männern bis 2050, Rückgang bei Frauen. Das TH-Gen als Nexus zwischen Nikotinstoffwechsel, Parkinson und Geschlechtsunterschieden identifiziert (erklärt stärkeren Effekt bei Männern). Geschlechtsspezifische biologische Mechanismen differenzieren Tabakeffekte.</w:t>
      </w:r>
    </w:p>
    <w:p>
      <w:r>
        <w:rPr>
          <w:b/>
          <w:sz w:val="19"/>
        </w:rPr>
        <w:t xml:space="preserve">Übertragbarkeit: </w:t>
      </w:r>
      <w:r>
        <w:rPr>
          <w:sz w:val="19"/>
        </w:rPr>
        <w:t>Global Burden of Disease, biologischer Wirkmechanismus belegt, aber regionale Heterogenität limitiert deutsche Übertragbarkeit</w:t>
      </w:r>
    </w:p>
    <w:p>
      <w:r>
        <w:rPr>
          <w:color w:val="5A7D3A"/>
          <w:sz w:val="18"/>
        </w:rPr>
        <w:t>https://pubmed.ncbi.nlm.nih.gov/42768129/</w:t>
      </w:r>
    </w:p>
    <w:p>
      <w:pPr>
        <w:pStyle w:val="Heading2"/>
      </w:pPr>
      <w:r>
        <w:t>Rassische Einkommensungleichheit und COVID-19-Last in Louisiana: Geografische Analyse von Versorgungsungleichheiten</w:t>
      </w:r>
    </w:p>
    <w:p>
      <w:r>
        <w:rPr>
          <w:i/>
          <w:color w:val="666666"/>
          <w:sz w:val="18"/>
        </w:rPr>
        <w:t>Oh H et al.  ·  J Health Care Poor Underserved  ·  2026  ·  PMID 42766511</w:t>
      </w:r>
    </w:p>
    <w:p>
      <w:r>
        <w:t>Räumliche Autoregression-Analyse von Louisiana-Parish-Daten (COVID-19-Fälle, Census-Daten) zur Verbindung zwischen rassischer Einkommensungleichheit zwischen weißen und schwarzen Einwohnern und COVID-19-Infektionsraten.</w:t>
      </w:r>
    </w:p>
    <w:p>
      <w:r>
        <w:rPr>
          <w:b/>
        </w:rPr>
        <w:t xml:space="preserve">Ergebnis: </w:t>
      </w:r>
      <w:r>
        <w:t>Parishs mit größerer rassischer Einkommensungleichheit zwischen Weißen und Schwarzen zeigten höhere COVID-19-Infektionsraten. Zusammenhang attributierbar zu Bedingungen in Parishs mit höherer rassischer Einkommensungleichheit, nicht zu Diffusion über Parish-Grenzen hinweg. Rassische und sozioökonomische Inequität ist ein ökologischer Treiber von COVID-19-Last. Struktur vor Ansteckung.</w:t>
      </w:r>
    </w:p>
    <w:p>
      <w:r>
        <w:rPr>
          <w:b/>
          <w:sz w:val="19"/>
        </w:rPr>
        <w:t xml:space="preserve">Übertragbarkeit: </w:t>
      </w:r>
      <w:r>
        <w:rPr>
          <w:sz w:val="19"/>
        </w:rPr>
        <w:t>USA - zeigt Wirkmechanismus über Einkommensungleichheit, aber US-spezifische Sozialstruktur limitiert Übertragung</w:t>
      </w:r>
    </w:p>
    <w:p>
      <w:r>
        <w:rPr>
          <w:color w:val="5A7D3A"/>
          <w:sz w:val="18"/>
        </w:rPr>
        <w:t>https://pubmed.ncbi.nlm.nih.gov/42766511/</w:t>
      </w:r>
    </w:p>
    <w:p>
      <w:pPr>
        <w:pStyle w:val="Heading2"/>
      </w:pPr>
      <w:r>
        <w:t>Lehrplan für LGBTQIA+-inklusive Praxis in australischen Medizinstudiengängen: Audit und Lückenanalyse</w:t>
      </w:r>
    </w:p>
    <w:p>
      <w:r>
        <w:rPr>
          <w:i/>
          <w:color w:val="666666"/>
          <w:sz w:val="18"/>
        </w:rPr>
        <w:t>Moss H et al.  ·  LGBT Health  ·  09.09.2026  ·  PMID 42714922</w:t>
      </w:r>
    </w:p>
    <w:p>
      <w:r>
        <w:t>Querschnitt-Audit von 15 australischen medizinischen Fachprogrammen (68% aller akkreditierten Programme) zur Erfassung von LGBTQIA+-Inhalten im Lehrplan mit Fokus auf Umfang, Lieferform und Themenbereiche.</w:t>
      </w:r>
    </w:p>
    <w:p>
      <w:r>
        <w:rPr>
          <w:b/>
        </w:rPr>
        <w:t xml:space="preserve">Ergebnis: </w:t>
      </w:r>
      <w:r>
        <w:t>LGBTQIA+-Lehrplninhalte: 3–40 Stunden (Median 10, IQR 6–10); 80% verteilten Inhalte über den gesamten Lehrplan statt Dedizierter Module. Häufigste Inhalte: Definitionen von Sexualität/Geschlecht (93%), inklusive Sprache (80%), soziale/legale Geschlechtsangleichung (80%). Am seltensten unterrichtet: Gesundheit von Personen mit angeborenen Geschlechtsvariationen. Respondenten beschrieben Abdeckung als fair bis gut. Variable Qualität und Umfang zeigen Implementierungslücken auf. Ohne LGBTQIA+-Kompetenzen in zukünftigen Rahmen bleibt Training fragmentiert.</w:t>
      </w:r>
    </w:p>
    <w:p>
      <w:r>
        <w:rPr>
          <w:b/>
          <w:sz w:val="19"/>
        </w:rPr>
        <w:t xml:space="preserve">Übertragbarkeit: </w:t>
      </w:r>
      <w:r>
        <w:rPr>
          <w:sz w:val="19"/>
        </w:rPr>
        <w:t>Australien - ähnliche Ausbildungsstruktur wie DACH, aber keine Vergleichsdaten zu Ergebnisqualität</w:t>
      </w:r>
    </w:p>
    <w:p>
      <w:r>
        <w:rPr>
          <w:color w:val="5A7D3A"/>
          <w:sz w:val="18"/>
        </w:rPr>
        <w:t>https://pubmed.ncbi.nlm.nih.gov/42714922/</w:t>
      </w:r>
    </w:p>
    <w:p>
      <w:pPr>
        <w:pStyle w:val="Heading1"/>
      </w:pPr>
      <w:r>
        <w:t>Aufgenommen am 29.09.2026</w:t>
      </w:r>
    </w:p>
    <w:p>
      <w:pPr>
        <w:pStyle w:val="Heading2"/>
      </w:pPr>
      <w:r>
        <w:t>Geschlechtsspezifische Phänotypen beim Hyperparathyreoidismus: Frauen mit skelettalen, Männer mit kardiovaskulären Risiken</w:t>
      </w:r>
    </w:p>
    <w:p>
      <w:r>
        <w:rPr>
          <w:i/>
          <w:color w:val="666666"/>
          <w:sz w:val="18"/>
        </w:rPr>
        <w:t>Maddalena RR et al.  ·  Endocrine  ·  28.09.2026  ·  PMID 42804060</w:t>
      </w:r>
    </w:p>
    <w:p>
      <w:r>
        <w:t>Retrospektive Analyse von 315 Patienten mit primärem Hyperparathyreoidismus zur Untersuchung geschlechtsspezifischer Unterschiede in klinischer Präsentation und Komplikationen.</w:t>
      </w:r>
    </w:p>
    <w:p>
      <w:r>
        <w:rPr>
          <w:b/>
        </w:rPr>
        <w:t xml:space="preserve">Ergebnis: </w:t>
      </w:r>
      <w:r>
        <w:t>Frauen zeigten signifikant höhere Prävalenz von Osteopenie/Osteoporose (71,7 % vs. 53,1 %, p = 0,004), vertebralen Frakturen (44 % vs. 12 %, p &lt; 0,001) und Knochenschmerzen (60,7 % vs. 10,3 %, p &lt; 0,001). Männer hatten höhere Nephrolithiasisraten (p = 0,013) und kardiovaskuläre Komorbiditäten (p = 0,046). Hormonabhängig unterschiedliche Krankheitsmanifestationen erfordern geschlechtsspezifische Behandlungsansätze.</w:t>
      </w:r>
    </w:p>
    <w:p>
      <w:r>
        <w:rPr>
          <w:b/>
          <w:sz w:val="19"/>
        </w:rPr>
        <w:t xml:space="preserve">Übertragbarkeit: </w:t>
      </w:r>
      <w:r>
        <w:rPr>
          <w:sz w:val="19"/>
        </w:rPr>
        <w:t>Italien, einzelnes Zentrum – Generalisierbarkeit für Deutschland begrenzt, aber biologisches Geschlecht als Einflussfaktor klar belegt.</w:t>
      </w:r>
    </w:p>
    <w:p>
      <w:r>
        <w:rPr>
          <w:color w:val="5A7D3A"/>
          <w:sz w:val="18"/>
        </w:rPr>
        <w:t>https://pubmed.ncbi.nlm.nih.gov/42804060/</w:t>
      </w:r>
    </w:p>
    <w:p>
      <w:pPr>
        <w:pStyle w:val="Heading2"/>
      </w:pPr>
      <w:r>
        <w:t>Menstruationsgesundheit South Asians vs. Weiße Britin: Kulturelle Stigma und Versorgungsungleichheit</w:t>
      </w:r>
    </w:p>
    <w:p>
      <w:r>
        <w:rPr>
          <w:i/>
          <w:color w:val="666666"/>
          <w:sz w:val="18"/>
        </w:rPr>
        <w:t>Birtel MD et al.  ·  Womens Health (Lond)  ·  28.09.2026  ·  PMID 42803365</w:t>
      </w:r>
    </w:p>
    <w:p>
      <w:r>
        <w:t>Querschnitterhebung mit 306 menstruierenden Frauen (153 South Asian, 153 Weiß-Britisch) im UK zu kulturellen Unterschieden in Menstruationserfahrungen, Literacy, Stigma und Diskriminierung im Gesundheitswesen.</w:t>
      </w:r>
    </w:p>
    <w:p>
      <w:r>
        <w:rPr>
          <w:b/>
        </w:rPr>
        <w:t xml:space="preserve">Ergebnis: </w:t>
      </w:r>
      <w:r>
        <w:t>South Asian Frauen berichteten niedrigere Menstruations-Literacy, größere Geheimhaltung und Vermeidungsverhalten beim Diskutieren von Menstruation, aber auch positivere Emotionen gegenüber Menstruation. Sie erlebten mehr ethnische Mikroaggressionen im Gesundheitswesen. Geheimhaltung und Mikroaggressionen vermittelten den Effekt von Kulturgruppe auf Selbststigma beim Hilfesuchverhalten. Zeigt Zugang und Arzt-Patient-Interaktion als Barrieren, nicht biologische Geschlechtsunterschiede.</w:t>
      </w:r>
    </w:p>
    <w:p>
      <w:r>
        <w:rPr>
          <w:b/>
          <w:sz w:val="19"/>
        </w:rPr>
        <w:t xml:space="preserve">Übertragbarkeit: </w:t>
      </w:r>
      <w:r>
        <w:rPr>
          <w:sz w:val="19"/>
        </w:rPr>
        <w:t>Großbritannien, qualitative Befunde zu Zugang und Arztkommunikation; Thema hochrelevant für Migrantinnengruppen in Deutschland.</w:t>
      </w:r>
    </w:p>
    <w:p>
      <w:r>
        <w:rPr>
          <w:color w:val="5A7D3A"/>
          <w:sz w:val="18"/>
        </w:rPr>
        <w:t>https://pubmed.ncbi.nlm.nih.gov/42803365/</w:t>
      </w:r>
    </w:p>
    <w:p>
      <w:pPr>
        <w:pStyle w:val="Heading2"/>
      </w:pPr>
      <w:r>
        <w:t>Vereinbarkeit Familie-Beruf und psychische Gesundheit: Mütter und Väter unterschiedlich belastet</w:t>
      </w:r>
    </w:p>
    <w:p>
      <w:r>
        <w:rPr>
          <w:i/>
          <w:color w:val="666666"/>
          <w:sz w:val="18"/>
        </w:rPr>
        <w:t>Taouk Y et al.  ·  Epidemiol Psychiatr Sci  ·  28.09.2026  ·  PMID 42802615</w:t>
      </w:r>
    </w:p>
    <w:p>
      <w:r>
        <w:t>Längsschnittanalyse mit fixed-effects-Regression von 7.265 berufstätigen Eltern aus HILDA-Kohorte (Australien, 2001–2021) zu Assoziation zwischen Work-Family-Conflict (WFC) und mentaler Gesundheit.</w:t>
      </w:r>
    </w:p>
    <w:p>
      <w:r>
        <w:rPr>
          <w:b/>
        </w:rPr>
        <w:t xml:space="preserve">Ergebnis: </w:t>
      </w:r>
      <w:r>
        <w:t>Zunahme des WFC war negativ assoziiert mit psychischer Gesundheit bei Frauen (β = −1,25 [95 % KI: −1,45, −1,05]) und Männern (β = −1,21 [95 % KI: −1,40, −1,02]). Zunahme von FWC (Family-to-Work) war stärker schädlich für Männer (β = −1,51 [95 % KI: −1,75, −1,28]) als Frauen (β = −1,09 [95 % KI: −1,33, −0,85]). Kleine, aber konsistent signifikante Geschlechtsunterschiede deuten auf unterschiedliche psychische Belastungsmuster hin.</w:t>
      </w:r>
    </w:p>
    <w:p>
      <w:r>
        <w:rPr>
          <w:b/>
          <w:sz w:val="19"/>
        </w:rPr>
        <w:t xml:space="preserve">Übertragbarkeit: </w:t>
      </w:r>
      <w:r>
        <w:rPr>
          <w:sz w:val="19"/>
        </w:rPr>
        <w:t>Australien, vergleichbare Arbeitsmärkte; großes, 21-jähriges Längsschnittpanel mit Gatekeeping wie Deutschland.</w:t>
      </w:r>
    </w:p>
    <w:p>
      <w:r>
        <w:rPr>
          <w:color w:val="5A7D3A"/>
          <w:sz w:val="18"/>
        </w:rPr>
        <w:t>https://pubmed.ncbi.nlm.nih.gov/42802615/</w:t>
      </w:r>
    </w:p>
    <w:p>
      <w:pPr>
        <w:pStyle w:val="Heading2"/>
      </w:pPr>
      <w:r>
        <w:t>Überaktive Blase: Ältere Frauen erhalten länger Anticholinergika statt β3-Agonisten</w:t>
      </w:r>
    </w:p>
    <w:p>
      <w:r>
        <w:rPr>
          <w:i/>
          <w:color w:val="666666"/>
          <w:sz w:val="18"/>
        </w:rPr>
        <w:t>Koike T et al.  ·  Low Urin Tract Symptoms  ·  Nov. 2026  ·  PMID 42802498</w:t>
      </w:r>
    </w:p>
    <w:p>
      <w:r>
        <w:t>Nationale japanische Analyse von Verschreibungsmustern für überaktive Blase (OAB) 2017–2024, stratifiziert nach Alter und Geschlecht, mit Fokus auf Anticholinergika-Burden.</w:t>
      </w:r>
    </w:p>
    <w:p>
      <w:r>
        <w:rPr>
          <w:b/>
        </w:rPr>
        <w:t xml:space="preserve">Ergebnis: </w:t>
      </w:r>
      <w:r>
        <w:t>β3-Agonisten-Anteil stieg von 36,2 % auf 64,9 %; in FY2024 war ihr Anteil bei Männern in allen Altersgruppen höher. Anticholinerge Burden (ACB-weighted) war bei Frauen höher, Verhältnis Frau:Mann stieg mit Alter (1,1 bei 65–74 Jahren, 2,8 bei ≥85 Jahren). Bei Frauen ≥85 Jahren sank die Verschreibungsmenge nur um 11,3 % statt ~20 %. Ältere Frauen bleiben kognitiv riskanteren Wirkstoffen länger exponiert.</w:t>
      </w:r>
    </w:p>
    <w:p>
      <w:r>
        <w:rPr>
          <w:b/>
          <w:sz w:val="19"/>
        </w:rPr>
        <w:t xml:space="preserve">Übertragbarkeit: </w:t>
      </w:r>
      <w:r>
        <w:rPr>
          <w:sz w:val="19"/>
        </w:rPr>
        <w:t>Japan – Registerqualität vergleichbar mit europäischer; Geschlechtsunterschied in Praxis-Adhärenz zu Leitlinien dokumentiert.</w:t>
      </w:r>
    </w:p>
    <w:p>
      <w:r>
        <w:rPr>
          <w:color w:val="5A7D3A"/>
          <w:sz w:val="18"/>
        </w:rPr>
        <w:t>https://pubmed.ncbi.nlm.nih.gov/42802498/</w:t>
      </w:r>
    </w:p>
    <w:p>
      <w:pPr>
        <w:pStyle w:val="Heading2"/>
      </w:pPr>
      <w:r>
        <w:t>Geschlechtsangleichende Versorgung in Hongkong: AMAB mit höheren psychischen Komorbiditäten, längere Wartezeiten für alle</w:t>
      </w:r>
    </w:p>
    <w:p>
      <w:r>
        <w:rPr>
          <w:i/>
          <w:color w:val="666666"/>
          <w:sz w:val="18"/>
        </w:rPr>
        <w:t>Chan TF et al.  ·  East Asian Arch Psychiatry  ·  Sept. 2026  ·  PMID 42802391</w:t>
      </w:r>
    </w:p>
    <w:p>
      <w:r>
        <w:t>Retrospektive Analyse von 609 Patienten (349 AMAB, 260 AFAB) eines Geschlechtsidentitätsambulanzen über 6 Jahre zu Versorgungszugang, psychiatrischen Komorbiditäten und Suizidalität.</w:t>
      </w:r>
    </w:p>
    <w:p>
      <w:r>
        <w:rPr>
          <w:b/>
        </w:rPr>
        <w:t xml:space="preserve">Ergebnis: </w:t>
      </w:r>
      <w:r>
        <w:t>AMAB waren bei Vorstellung älter und hatten höhere psychiatrische Komorbiditäten (31,5 % vs. 24,2 %), insbesondere Autismus und frühere Suizidversuche. AFAB forderten mehr Chirurgien an (73,4 % vs. 56,2 %). Wartezeiten für endokrinologische Bewertung stiegen von ~105 Tagen (2017) auf &gt;400 Tage (2022). Zwei AMAB und ein AFAB starben durch Suizid während des Wartens. Unmet demand und prolongierte Wartezeiten gefährden vulnerable Populationen.</w:t>
      </w:r>
    </w:p>
    <w:p>
      <w:r>
        <w:rPr>
          <w:b/>
          <w:sz w:val="19"/>
        </w:rPr>
        <w:t xml:space="preserve">Übertragbarkeit: </w:t>
      </w:r>
      <w:r>
        <w:rPr>
          <w:sz w:val="19"/>
        </w:rPr>
        <w:t>Hongkong, öffentliches System; zeigt Zugangsbarriere als Ursache schlechterer Outcomes, nicht Biologie.</w:t>
      </w:r>
    </w:p>
    <w:p>
      <w:r>
        <w:rPr>
          <w:color w:val="5A7D3A"/>
          <w:sz w:val="18"/>
        </w:rPr>
        <w:t>https://pubmed.ncbi.nlm.nih.gov/42802391/</w:t>
      </w:r>
    </w:p>
    <w:p>
      <w:pPr>
        <w:pStyle w:val="Heading2"/>
      </w:pPr>
      <w:r>
        <w:t>Schwangerschaftskohorte Shenzhen: Prä-BMI bei Knaben mit Entwicklungsverzögerungen stärker assoziiert</w:t>
      </w:r>
    </w:p>
    <w:p>
      <w:r>
        <w:rPr>
          <w:i/>
          <w:color w:val="666666"/>
          <w:sz w:val="18"/>
        </w:rPr>
        <w:t>Li X et al.  ·  BMJ Open  ·  23.09.2026  ·  PMID 42778246</w:t>
      </w:r>
    </w:p>
    <w:p>
      <w:r>
        <w:t>Prospektive Geburtskohorte mit 4.208 schwangeren Frauen seit März 2018, Nachverfolgung bis 7 Jahre, zu Effekten genetischer, umwelt- und lebensstilfaktoren auf mütterliche und kindliche Gesundheit.</w:t>
      </w:r>
    </w:p>
    <w:p>
      <w:r>
        <w:rPr>
          <w:b/>
        </w:rPr>
        <w:t xml:space="preserve">Ergebnis: </w:t>
      </w:r>
      <w:r>
        <w:t>Höherer Prä-Schwangerschafts-BMI assoziiert mit Entwicklungsverzögerungen bei Nachkommen, besonders bei Jungen. Schlechte Schlafqualität in Frühschwangerschaft assoziiert mit Small-for-Gestational-Age. Pränatale Grünflächenexposition assoziiert mit besserer motorischer Entwicklung, PM₂,₅-Exposition postnatal mit verzögerter motorischer und Problemlösungs-Entwicklung. Sex als biologische Variable moderiert Umwelteffekte.</w:t>
      </w:r>
    </w:p>
    <w:p>
      <w:r>
        <w:rPr>
          <w:b/>
          <w:sz w:val="19"/>
        </w:rPr>
        <w:t xml:space="preserve">Übertragbarkeit: </w:t>
      </w:r>
      <w:r>
        <w:rPr>
          <w:sz w:val="19"/>
        </w:rPr>
        <w:t>China; Geburtskohorte mit Geschlechtsstratifizierung – Methodenmodell für deutsche Kohortenforschung, aber nicht deutsches System.</w:t>
      </w:r>
    </w:p>
    <w:p>
      <w:r>
        <w:rPr>
          <w:color w:val="5A7D3A"/>
          <w:sz w:val="18"/>
        </w:rPr>
        <w:t>https://pubmed.ncbi.nlm.nih.gov/42778246/</w:t>
      </w:r>
    </w:p>
    <w:p>
      <w:pPr>
        <w:pStyle w:val="Heading2"/>
      </w:pPr>
      <w:r>
        <w:t>Fertilitätserhalt für transgender Personen: TransFertility-Modell steigert Zugang und Completion</w:t>
      </w:r>
    </w:p>
    <w:p>
      <w:r>
        <w:rPr>
          <w:i/>
          <w:color w:val="666666"/>
          <w:sz w:val="18"/>
        </w:rPr>
        <w:t>Tsonis O et al.  ·  Reprod Biomed Online  ·  25.06.2026  ·  PMID 42561480</w:t>
      </w:r>
    </w:p>
    <w:p>
      <w:r>
        <w:t>Fallbericht und Evidence-Synthese zur Implementierung eines dysphorie-informierten, trans-inklusiven Fertilitätsschutz-Pfads am Guy's and St Thomas' NHS Trust, London, mit Outcomes über 39 Monate.</w:t>
      </w:r>
    </w:p>
    <w:p>
      <w:r>
        <w:rPr>
          <w:b/>
        </w:rPr>
        <w:t xml:space="preserve">Ergebnis: </w:t>
      </w:r>
      <w:r>
        <w:t>Das TransFertility-Modell erzielte 19-fache Steigerung der Überweisungen, 100 % Konsultations-Attendance, &gt;90 % Treatment-Initiation und 96,7 % Completion ohne schwere Nebenwirkungen. Dysphorie-informierte Umgestaltung von Administration, Klinik und psychosozialen Komponenten verbesserte Zugang, Engagement und Adherence. Zeigt, dass Strukturdesign – nicht nur Leitlinien – Zugangsbarrieren für transgender Personen abbaut.</w:t>
      </w:r>
    </w:p>
    <w:p>
      <w:r>
        <w:rPr>
          <w:b/>
          <w:sz w:val="19"/>
        </w:rPr>
        <w:t xml:space="preserve">Übertragbarkeit: </w:t>
      </w:r>
      <w:r>
        <w:rPr>
          <w:sz w:val="19"/>
        </w:rPr>
        <w:t>Großbritannien, NHS; deutsches System ähnlicher Zugangsschutz, aber keine vergleichbaren Spezialistenservices etabliert.</w:t>
      </w:r>
    </w:p>
    <w:p>
      <w:r>
        <w:rPr>
          <w:color w:val="5A7D3A"/>
          <w:sz w:val="18"/>
        </w:rPr>
        <w:t>https://pubmed.ncbi.nlm.nih.gov/42561480/</w:t>
      </w:r>
    </w:p>
    <w:p>
      <w:pPr>
        <w:pStyle w:val="Heading1"/>
      </w:pPr>
      <w:r>
        <w:t>Aufgenommen am 28.09.2026</w:t>
      </w:r>
    </w:p>
    <w:p>
      <w:pPr>
        <w:pStyle w:val="Heading2"/>
      </w:pPr>
      <w:r>
        <w:t>Übergewichtsdisparitäten bei Kindern: Ethnische Segregation und Schulumgebung bestimmen Unterschiede</w:t>
      </w:r>
    </w:p>
    <w:p>
      <w:r>
        <w:rPr>
          <w:i/>
          <w:color w:val="666666"/>
          <w:sz w:val="18"/>
        </w:rPr>
        <w:t>Miller S et al.  ·  Pediatr Obes  ·  Okt. 2026  ·  PMID 42802009</w:t>
      </w:r>
    </w:p>
    <w:p>
      <w:r>
        <w:t>Beobachtungsstudie mit Messungen des Übergewichts bei kalifornischen Schulkindern 2018/19, Analyse nach ethnischer Schulzusammensetzung und Nachbarschaftseinkommen.</w:t>
      </w:r>
    </w:p>
    <w:p>
      <w:r>
        <w:rPr>
          <w:b/>
        </w:rPr>
        <w:t xml:space="preserve">Ergebnis: </w:t>
      </w:r>
      <w:r>
        <w:t>In integrierten einkommensschwachen Schulen betrug die Disparität zwischen Schwarzen und Weißen Kindern 3 %, zwischen Latinos und Weißen 10 %. In integrierten wohlhabenden Schulen waren es 8 % bzw. 13 %. In segregierten einkommensschwachen Schulen: 11 % bzw. 14 %; in segregierten wohlhabenden Schulen: 22 % bzw. 26 %. Die größte Disparität (23 % bzw. 28 %) lag zwischen Minderheitskindern in segregierten armen und Weißen Kindern in segregierten wohlhabenden Schulen. Dies zeigt: Unterschiede sind nicht biologisch, sondern durch Zugang zu Ressourcen und strukturelle Segregation bestimmt.</w:t>
      </w:r>
    </w:p>
    <w:p>
      <w:r>
        <w:rPr>
          <w:b/>
          <w:sz w:val="19"/>
        </w:rPr>
        <w:t xml:space="preserve">Übertragbarkeit: </w:t>
      </w:r>
      <w:r>
        <w:rPr>
          <w:sz w:val="19"/>
        </w:rPr>
        <w:t>USA-Daten, aber soziologische Mechanik (Segregation und Armut als Determinanten) übertragbar auf Deutschland</w:t>
      </w:r>
    </w:p>
    <w:p>
      <w:r>
        <w:rPr>
          <w:color w:val="5A7D3A"/>
          <w:sz w:val="18"/>
        </w:rPr>
        <w:t>https://pubmed.ncbi.nlm.nih.gov/42802009/</w:t>
      </w:r>
    </w:p>
    <w:p>
      <w:pPr>
        <w:pStyle w:val="Heading2"/>
      </w:pPr>
      <w:r>
        <w:t>Geschlechtsangleichende Penisprothetik: Lernkurve und Revisionsergebnisse über 5 Jahre</w:t>
      </w:r>
    </w:p>
    <w:p>
      <w:r>
        <w:rPr>
          <w:i/>
          <w:color w:val="666666"/>
          <w:sz w:val="18"/>
        </w:rPr>
        <w:t>Gobbo A et al.  ·  J Sex Med  ·  14.09.2026  ·  PMID 42801789</w:t>
      </w:r>
    </w:p>
    <w:p>
      <w:r>
        <w:t>Retrospektive Analyse von 473 Patienten mit geschlechtsangleichender Penisprothesenimplantation zur Erfassung der institutionellen Lernkurve und ihrer Auswirkung auf die Ergebnisqualität.</w:t>
      </w:r>
    </w:p>
    <w:p>
      <w:r>
        <w:rPr>
          <w:b/>
        </w:rPr>
        <w:t xml:space="preserve">Ergebnis: </w:t>
      </w:r>
      <w:r>
        <w:t>Die Wahrscheinlichkeit einer Operation aus beliebigem Grund sank von 65,6 % beim ersten Fall auf 32,9 % beim Fall 473; maximale Effizienz wurde bei Fall 311 erreicht. Revisionen wegen Unzufriedenheit traten bei 21,9 % der Patienten auf und sanken von 33,2 % auf 12,8 %, mit maximaler Effizienz bei Fall 261. Kumulative institutionelle Erfahrung war unabhängiger Prädiktor für bessere Ergebnisse (OR = 0,997, p = 0,020). Dies zeigt: Die Versorgungsqualität verbessert sich mit Routine — die biologische Komplexität (Aufbau eines funktionsfähigen Gewebes) wird durch strukturelle Faktoren (Chirurgenerfahrung) bestimmt.</w:t>
      </w:r>
    </w:p>
    <w:p>
      <w:r>
        <w:rPr>
          <w:b/>
          <w:sz w:val="19"/>
        </w:rPr>
        <w:t xml:space="preserve">Übertragbarkeit: </w:t>
      </w:r>
      <w:r>
        <w:rPr>
          <w:sz w:val="19"/>
        </w:rPr>
        <w:t>UK-Daten, ähnliche Ressourcenlage wie deutsches Spezialistensystem</w:t>
      </w:r>
    </w:p>
    <w:p>
      <w:r>
        <w:rPr>
          <w:color w:val="5A7D3A"/>
          <w:sz w:val="18"/>
        </w:rPr>
        <w:t>https://pubmed.ncbi.nlm.nih.gov/42801789/</w:t>
      </w:r>
    </w:p>
    <w:p>
      <w:pPr>
        <w:pStyle w:val="Heading2"/>
      </w:pPr>
      <w:r>
        <w:t>Liaison-Pflegekraft für 2S/LGBTQIA+-Patienten: Strukturelle Intervention für Chancengleichheit</w:t>
      </w:r>
    </w:p>
    <w:p>
      <w:r>
        <w:rPr>
          <w:i/>
          <w:color w:val="666666"/>
          <w:sz w:val="18"/>
        </w:rPr>
        <w:t>Handlovsky I et al.  ·  Nurs Inq  ·  Okt. 2026  ·  PMID 42801724</w:t>
      </w:r>
    </w:p>
    <w:p>
      <w:r>
        <w:t>Qualitative Ethnographie der klinischen Praxis einer Liaison-Pflegekraft für sexuelle und Geschlechterminderheiten in zwei kanadischen Akutkrankenhäusern über 7 Monate.</w:t>
      </w:r>
    </w:p>
    <w:p>
      <w:r>
        <w:rPr>
          <w:b/>
        </w:rPr>
        <w:t xml:space="preserve">Ergebnis: </w:t>
      </w:r>
      <w:r>
        <w:t>Drei zentrale Dimensionen wurden identifiziert: Präsenz (Vertrauensbildung), Fachkompetenz (physiologische und psychosoziale Besonderheiten von 2S/LGBTQIA+-Patienten) und Systemadvokacy (Navigation institutioneller Hemmnisse). Diese Dimensionen ermöglichten bessere Informationen für klinische Entscheidungen und reduzierten strukturelle Barrieren — nachweislich nicht primär biologisch, sondern durch Unterversorgung und Stigma bedingt. Die Liaison-Rolle funktioniert als klinische und Systemintervention, die Chancengleichheit fördert.</w:t>
      </w:r>
    </w:p>
    <w:p>
      <w:r>
        <w:rPr>
          <w:b/>
          <w:sz w:val="19"/>
        </w:rPr>
        <w:t xml:space="preserve">Übertragbarkeit: </w:t>
      </w:r>
      <w:r>
        <w:rPr>
          <w:sz w:val="19"/>
        </w:rPr>
        <w:t>Kanada, ähnliches Modell im deutschsprachigen Raum adaptierbar</w:t>
      </w:r>
    </w:p>
    <w:p>
      <w:r>
        <w:rPr>
          <w:color w:val="5A7D3A"/>
          <w:sz w:val="18"/>
        </w:rPr>
        <w:t>https://pubmed.ncbi.nlm.nih.gov/42801724/</w:t>
      </w:r>
    </w:p>
    <w:p>
      <w:pPr>
        <w:pStyle w:val="Heading2"/>
      </w:pPr>
      <w:r>
        <w:t>Digitale kognitive Verhaltenstherapie für chinesische Männer mit HIV: Kulturelle Anpassung und Machbarkeit</w:t>
      </w:r>
    </w:p>
    <w:p>
      <w:r>
        <w:rPr>
          <w:i/>
          <w:color w:val="666666"/>
          <w:sz w:val="18"/>
        </w:rPr>
        <w:t>Wu W et al.  ·  J Med Internet Res  ·  14.09.2026  ·  PMID 42735073</w:t>
      </w:r>
    </w:p>
    <w:p>
      <w:r>
        <w:t>Drei-Phasen-Nutzer-zentrierte Anpassung einer kognitiven Verhaltenstherapie (ESTEEM) in eine WeChat-Mini-Programm-App für chinesische Männer mit HIV-Erfahrung; Pilotphase mit 10 Patienten und 5 Berater.</w:t>
      </w:r>
    </w:p>
    <w:p>
      <w:r>
        <w:rPr>
          <w:b/>
        </w:rPr>
        <w:t xml:space="preserve">Ergebnis: </w:t>
      </w:r>
      <w:r>
        <w:t>In Phase 1 wurden 3 Themen identifiziert: katastrophisches Denken bei Gesundheitsangst, internalisiertes Stigma (Offenbarungsdilemma) und Scham-Schemata zu Unzulänglichkeit. Im Pilot loggten sich Teilnehmer durchschnittlich 14,1-mal (SD 6,7) ein und absolvierten 134,3 min (SD 103,1) Lernmodule; 90 % ( 9/10) erreichten alle Module. Angststörungen sanken von 8,9 (SD 2,3) auf 7,2 (SD 3,0). Alle Teilnehmer (100 %) zeigten Bereitschaft zur Fortsetzung und Empfehlung. Dies zeigt: Psychische Belastung entsteht nicht aus Biologie (HIV), sondern aus sozialer Stigmatisierung und Schamkognitionen — durch kulturgerechte Intervention reduzierbar.</w:t>
      </w:r>
    </w:p>
    <w:p>
      <w:r>
        <w:rPr>
          <w:b/>
          <w:sz w:val="19"/>
        </w:rPr>
        <w:t xml:space="preserve">Übertragbarkeit: </w:t>
      </w:r>
      <w:r>
        <w:rPr>
          <w:sz w:val="19"/>
        </w:rPr>
        <w:t>China-Pilot, aber Konzept der Stigma-fokussierten Intervention für andere Hochrisikogruppen adaptierbar</w:t>
      </w:r>
    </w:p>
    <w:p>
      <w:r>
        <w:rPr>
          <w:color w:val="5A7D3A"/>
          <w:sz w:val="18"/>
        </w:rPr>
        <w:t>https://pubmed.ncbi.nlm.nih.gov/42735073/</w:t>
      </w:r>
    </w:p>
    <w:p>
      <w:pPr>
        <w:pStyle w:val="Heading2"/>
      </w:pPr>
      <w:r>
        <w:t>Physische Aktivitätsforschung übersieht arme Bevölkerungsgruppen systematisch</w:t>
      </w:r>
    </w:p>
    <w:p>
      <w:r>
        <w:rPr>
          <w:i/>
          <w:color w:val="666666"/>
          <w:sz w:val="18"/>
        </w:rPr>
        <w:t>Stalsberg R  ·  Int J Public Health  ·  28.08.2026  ·  PMID 42729238</w:t>
      </w:r>
    </w:p>
    <w:p>
      <w:r>
        <w:t>Literaturkritik zum Bias in der Bewegungsforschung: Die Fokussierung auf Freizeit-Bewegung ignoriert Alltagsaktivität und unterschätzt Aktivitätsmuster niedriger Sozialschichten systematisch.</w:t>
      </w:r>
    </w:p>
    <w:p>
      <w:r>
        <w:rPr>
          <w:b/>
        </w:rPr>
        <w:t xml:space="preserve">Ergebnis: </w:t>
      </w:r>
      <w:r>
        <w:t>Methodische Verzerrungen (Stichprobenselektion, Messinstrumente) führen zur Unterrepräsentation von Personen mit niedrigem Sozioökonomischen Status. Dies reproduziert Chancenungleichheit: Interventionen, die auf Freizeitverhalten abzielen, verfehlen arbeitsreiche, körperlich fordernde Bevölkerungsgruppen. Der Bias ist nicht biologisch, sondern methodisch und perpetuiert Health Inequities durch fehlerhafte Datenbasis.</w:t>
      </w:r>
    </w:p>
    <w:p>
      <w:r>
        <w:rPr>
          <w:b/>
          <w:sz w:val="19"/>
        </w:rPr>
        <w:t xml:space="preserve">Übertragbarkeit: </w:t>
      </w:r>
      <w:r>
        <w:rPr>
          <w:sz w:val="19"/>
        </w:rPr>
        <w:t>Skandinavien (Autor), aber epistemische Kritik auf deutsches Studiendesign anwendbar</w:t>
      </w:r>
    </w:p>
    <w:p>
      <w:r>
        <w:rPr>
          <w:color w:val="5A7D3A"/>
          <w:sz w:val="18"/>
        </w:rPr>
        <w:t>https://pubmed.ncbi.nlm.nih.gov/42729238/</w:t>
      </w:r>
    </w:p>
    <w:p>
      <w:pPr>
        <w:pStyle w:val="Heading2"/>
      </w:pPr>
      <w:r>
        <w:t>Geschlechtsspezifische Immunität: Sechs ungelöste Fragen für klinische Anwendung</w:t>
      </w:r>
    </w:p>
    <w:p>
      <w:r>
        <w:rPr>
          <w:i/>
          <w:color w:val="666666"/>
          <w:sz w:val="18"/>
        </w:rPr>
        <w:t>Flanagan KL et al.  ·  Front Immunol  ·  26.08.2026  ·  PMID 42718495</w:t>
      </w:r>
    </w:p>
    <w:p>
      <w:r>
        <w:t>Expertenpapier zu mechanistischen Forschungslücken in der Geschlechtsimmunologie, die geklärt werden müssen, bevor biologische Geschlechtsunterschiede klinisch handlungsleitend werden können.</w:t>
      </w:r>
    </w:p>
    <w:p>
      <w:r>
        <w:rPr>
          <w:b/>
        </w:rPr>
        <w:t xml:space="preserve">Ergebnis: </w:t>
      </w:r>
      <w:r>
        <w:t>Sechs identifizierte Grand Challenges: (1) rigide Erfassung geschlechtsspezifischer Immunzellfunktionen über die Lebensspanne; (2) funktionale Rollen X- und Y-gebundener Immungene und X-Inaktivierungs-Escape klären; (3) Rolle von Sexualsteroiden und epigenetischer Regulation abbilden; (4) Auswirkung der bidirektionalen Sex-Mikrobiota-Immunitäts-Achse klären; (5) Geschlecht in experimentellen Modellen als Variable statt Confounder etablieren; (6) mechanistische Einsichten in geschlechtsspezifische Prävention und Behandlung übersetzen. Das Paper zeigt: Ohne diese grundlagenseitigen Klärungen können biologische Unterschiede nicht klinisch sicher genutzt werden — momentan ist die Kausalität ungeklärt.</w:t>
      </w:r>
    </w:p>
    <w:p>
      <w:r>
        <w:rPr>
          <w:b/>
          <w:sz w:val="19"/>
        </w:rPr>
        <w:t xml:space="preserve">Übertragbarkeit: </w:t>
      </w:r>
      <w:r>
        <w:rPr>
          <w:sz w:val="19"/>
        </w:rPr>
        <w:t>Internationale Expertise, unabhängig von Gesundheitssystem gültig</w:t>
      </w:r>
    </w:p>
    <w:p>
      <w:r>
        <w:rPr>
          <w:color w:val="5A7D3A"/>
          <w:sz w:val="18"/>
        </w:rPr>
        <w:t>https://pubmed.ncbi.nlm.nih.gov/42718495/</w:t>
      </w:r>
    </w:p>
    <w:p>
      <w:pPr>
        <w:pStyle w:val="Heading1"/>
      </w:pPr>
      <w:r>
        <w:t>Aufgenommen am 27.09.2026</w:t>
      </w:r>
    </w:p>
    <w:p>
      <w:pPr>
        <w:pStyle w:val="Heading2"/>
      </w:pPr>
      <w:r>
        <w:t>Geschlechtsbilder in der Grundversorgung beeinflussen Behandlungsqualität</w:t>
      </w:r>
    </w:p>
    <w:p>
      <w:r>
        <w:rPr>
          <w:i/>
          <w:color w:val="666666"/>
          <w:sz w:val="18"/>
        </w:rPr>
        <w:t>Bah H et al.  ·  BMC Health Serv Res  ·  04.09.2026  ·  PMID 42791533</w:t>
      </w:r>
    </w:p>
    <w:p>
      <w:r>
        <w:t>Querschnittsuntersuchung der Wahrnehmungen von Gesundheitspersonal zu Geschlecht und Equity in 19 Gesundheitszentren Conakrys (412 Mitarbeiter aus ärztlichem, pflegerischem und technischem Dienst).</w:t>
      </w:r>
    </w:p>
    <w:p>
      <w:r>
        <w:rPr>
          <w:b/>
        </w:rPr>
        <w:t xml:space="preserve">Ergebnis: </w:t>
      </w:r>
      <w:r>
        <w:t>Über 50 % der Mitarbeiter berichteten das Fehlen von Geschlechter-Equity-Richtlinien oder Focal Points; die Mehrheit sah Geschlecht nicht als Einflussfaktor auf Versorgung, Karriere oder Patientenbehandlung an. Allerdings äußerte die starke Mehrheit Unterstützung für gezielt Schulung und Sensibilisierung zu Geschlecht und Equity.</w:t>
      </w:r>
    </w:p>
    <w:p>
      <w:r>
        <w:rPr>
          <w:b/>
          <w:sz w:val="19"/>
        </w:rPr>
        <w:t xml:space="preserve">Übertragbarkeit: </w:t>
      </w:r>
      <w:r>
        <w:rPr>
          <w:sz w:val="19"/>
        </w:rPr>
        <w:t>Guinea, aber zeigt Schulungsbedarfe, die auch in Subsahara-Systemen gelten.</w:t>
      </w:r>
    </w:p>
    <w:p>
      <w:r>
        <w:rPr>
          <w:color w:val="5A7D3A"/>
          <w:sz w:val="18"/>
        </w:rPr>
        <w:t>https://pubmed.ncbi.nlm.nih.gov/42791533/</w:t>
      </w:r>
    </w:p>
    <w:p>
      <w:pPr>
        <w:pStyle w:val="Heading2"/>
      </w:pPr>
      <w:r>
        <w:t>Elternprogramm für Kindsentwicklung in Vietnam: Geschlechts-und Kostenkontrolle</w:t>
      </w:r>
    </w:p>
    <w:p>
      <w:r>
        <w:rPr>
          <w:i/>
          <w:color w:val="666666"/>
          <w:sz w:val="18"/>
        </w:rPr>
        <w:t>Baek Y et al.  ·  BMJ Open  ·  24.09.2026  ·  PMID 42785938</w:t>
      </w:r>
    </w:p>
    <w:p>
      <w:r>
        <w:t>Protokoll einer Follow-up-Studie einer Cluster-RCT (2018–2021) mit 622 Frauen-Kind-Dyaden (Interventionsgruppe) und 546 (Kontrolle) zur Untersuchung mittelfristiger Effekte auf kognitives, sprachliches und motorisches Entwicklungsniveau von Kindern im Alter 7–9 Jahren und maternale psychische Gesundheit.</w:t>
      </w:r>
    </w:p>
    <w:p>
      <w:r>
        <w:rPr>
          <w:b/>
        </w:rPr>
        <w:t xml:space="preserve">Ergebnis: </w:t>
      </w:r>
      <w:r>
        <w:t>Die ursprüngliche RCT zeigte bei 2 Jahren erhöhte kognitive, sprachliche und motorische Entwicklung in der Interventionsgruppe und war kosteneffektiv. Das geplante Follow-up wird die Persistenz dieser Effekte bei älteren Kindern untersuchen, Geschlechtsspezifizität ist ein geplanter Outcomes (Geschlechtsunterschiede in Reaktion auf Intervention werden analysiert).</w:t>
      </w:r>
    </w:p>
    <w:p>
      <w:r>
        <w:rPr>
          <w:b/>
          <w:sz w:val="19"/>
        </w:rPr>
        <w:t xml:space="preserve">Übertragbarkeit: </w:t>
      </w:r>
      <w:r>
        <w:rPr>
          <w:sz w:val="19"/>
        </w:rPr>
        <w:t>Vietnam; Versorgungsmodell müsste auf deutsches System adaptiert werden.</w:t>
      </w:r>
    </w:p>
    <w:p>
      <w:r>
        <w:rPr>
          <w:color w:val="5A7D3A"/>
          <w:sz w:val="18"/>
        </w:rPr>
        <w:t>https://pubmed.ncbi.nlm.nih.gov/42785938/</w:t>
      </w:r>
    </w:p>
    <w:p>
      <w:pPr>
        <w:pStyle w:val="Heading2"/>
      </w:pPr>
      <w:r>
        <w:t>Struktureller Rassismus und Kindersterblichkeit: Systematischer Review</w:t>
      </w:r>
    </w:p>
    <w:p>
      <w:r>
        <w:rPr>
          <w:i/>
          <w:color w:val="666666"/>
          <w:sz w:val="18"/>
        </w:rPr>
        <w:t>Obi C et al.  ·  J Health Care Poor Underserved  ·  2026  ·  PMID 42766502</w:t>
      </w:r>
    </w:p>
    <w:p>
      <w:r>
        <w:t>Systematischer Review (PRISMA-Leitlinie) von 1955–2024 mit 33 eingeschlossenen Studien (alle USA) zur Beziehung zwischen strukturellem Rassismus (sechs Domänen: Einkommen, Bildung, Wohnen, Bügerrechte, Gesundheitswesen, Justiz) und Säuglingssterblichkeitsraten (IMR).</w:t>
      </w:r>
    </w:p>
    <w:p>
      <w:r>
        <w:rPr>
          <w:b/>
        </w:rPr>
        <w:t xml:space="preserve">Ergebnis: </w:t>
      </w:r>
      <w:r>
        <w:t>In allen sechs Domänen zeigte Rassenungleichheit (gemessen als struktureller Rassismus) Assoziation mit höherer Säuglingssterblichkeit bei Schwarzen Kindern; wenig oder kein Effekt auf weiße Säuglingssterblichkeit. Struktureller Rassismus wirkt sich nachteilig auf IMR schwarzer Säuglinge aus.</w:t>
      </w:r>
    </w:p>
    <w:p>
      <w:r>
        <w:rPr>
          <w:b/>
          <w:sz w:val="19"/>
        </w:rPr>
        <w:t xml:space="preserve">Übertragbarkeit: </w:t>
      </w:r>
      <w:r>
        <w:rPr>
          <w:sz w:val="19"/>
        </w:rPr>
        <w:t>USA; Befund zu Rassenungleichheit nicht direkt übertragbar, aber methodisches Vorgehen zur Untersuchung struktureller Determinanten relevant.</w:t>
      </w:r>
    </w:p>
    <w:p>
      <w:r>
        <w:rPr>
          <w:color w:val="5A7D3A"/>
          <w:sz w:val="18"/>
        </w:rPr>
        <w:t>https://pubmed.ncbi.nlm.nih.gov/42766502/</w:t>
      </w:r>
    </w:p>
    <w:p>
      <w:pPr>
        <w:pStyle w:val="Heading2"/>
      </w:pPr>
      <w:r>
        <w:t>Geschlechtsspezifische Unterschiede bei motorischem Lernen unter Hirnstimulation</w:t>
      </w:r>
    </w:p>
    <w:p>
      <w:r>
        <w:rPr>
          <w:i/>
          <w:color w:val="666666"/>
          <w:sz w:val="18"/>
        </w:rPr>
        <w:t>Oldrati V et al.  ·  Neural Plast  ·  2026  ·  PMID 42730484</w:t>
      </w:r>
    </w:p>
    <w:p>
      <w:r>
        <w:t>Kontrollierte experimentelle Studie zu Effekten transkranieller alternierend Stromstimulation (tACS) und transkutaner Vagusnervstimulation (tVNS) auf motorisches Lernen bei 96 gesunden Erwachsenen (24 Frauen pro Gruppe).</w:t>
      </w:r>
    </w:p>
    <w:p>
      <w:r>
        <w:rPr>
          <w:b/>
        </w:rPr>
        <w:t xml:space="preserve">Ergebnis: </w:t>
      </w:r>
      <w:r>
        <w:t>tACS zeigte geschlechtsspezifisch unterschiedliche Effekte: Frauen verbesserten Präzision bei näheren Zielen, Männer bei fernen Zielen (erhebliche Überschneidung). tVNS hatte unterschiedliche Effekte auf Reaktionszeiten: Verlangsamung bei Männern, Beschleunigung bei Frauen. Beide Stimulationsarten zeigten Reaktionszeitverlangsamung (tACS) oder divergente Effekte (tVNS) nach Geschlecht.</w:t>
      </w:r>
    </w:p>
    <w:p>
      <w:r>
        <w:rPr>
          <w:b/>
          <w:sz w:val="19"/>
        </w:rPr>
        <w:t xml:space="preserve">Übertragbarkeit: </w:t>
      </w:r>
      <w:r>
        <w:rPr>
          <w:sz w:val="19"/>
        </w:rPr>
        <w:t>Labor-Setting; zeigt biologische Modulation aber keine klinische Versorgungssituation.</w:t>
      </w:r>
    </w:p>
    <w:p>
      <w:r>
        <w:rPr>
          <w:color w:val="5A7D3A"/>
          <w:sz w:val="18"/>
        </w:rPr>
        <w:t>https://pubmed.ncbi.nlm.nih.gov/42730484/</w:t>
      </w:r>
    </w:p>
    <w:p>
      <w:pPr>
        <w:pStyle w:val="Heading2"/>
      </w:pPr>
      <w:r>
        <w:t>Messinstrumente für Minderheitsstress bei LGBQ-Personen: Systematische Bewertung</w:t>
      </w:r>
    </w:p>
    <w:p>
      <w:r>
        <w:rPr>
          <w:i/>
          <w:color w:val="666666"/>
          <w:sz w:val="18"/>
        </w:rPr>
        <w:t>Misevic-Kallenbach M et al.  ·  Arch Sex Behav  ·  28.08.2026  ·  PMID 42665774</w:t>
      </w:r>
    </w:p>
    <w:p>
      <w:r>
        <w:t>COSMIN-Systematischer Review der psychometrischen Eigenschaften von Instrumenten zur Messung von Minderheitsstress in LGBQ-Populationen; 105 Instrumente gescreent, 8 bewertet.</w:t>
      </w:r>
    </w:p>
    <w:p>
      <w:r>
        <w:rPr>
          <w:b/>
        </w:rPr>
        <w:t xml:space="preserve">Ergebnis: </w:t>
      </w:r>
      <w:r>
        <w:t>Die Lesbian, Gay, and Bisexual Identity Scale (LGBIS) und ihre deutsche Adaptation (LGBIS-DE) zeigten die stärksten psychometrischen Eigenschaften. Jedoch zeigte der Review erhebliche Variabilität in der Konzeptualisierung von Minderheitsstress und unzureichend untersuchte Inhaltsvalidität bei vielen Instrumenten.</w:t>
      </w:r>
    </w:p>
    <w:p>
      <w:r>
        <w:rPr>
          <w:b/>
          <w:sz w:val="19"/>
        </w:rPr>
        <w:t xml:space="preserve">Übertragbarkeit: </w:t>
      </w:r>
      <w:r>
        <w:rPr>
          <w:sz w:val="19"/>
        </w:rPr>
        <w:t>Deutschland - LGBIS-DE verfügbar; Messstandards gelten unabhängig vom System.</w:t>
      </w:r>
    </w:p>
    <w:p>
      <w:r>
        <w:rPr>
          <w:color w:val="5A7D3A"/>
          <w:sz w:val="18"/>
        </w:rPr>
        <w:t>https://pubmed.ncbi.nlm.nih.gov/42665774/</w:t>
      </w:r>
    </w:p>
    <w:p>
      <w:pPr>
        <w:pStyle w:val="Heading2"/>
      </w:pPr>
      <w:r>
        <w:t>Grüne Stadtinfrastruktur reduziert keine bestehenden Gesundheitsungleichgewichte</w:t>
      </w:r>
    </w:p>
    <w:p>
      <w:r>
        <w:rPr>
          <w:i/>
          <w:color w:val="666666"/>
          <w:sz w:val="18"/>
        </w:rPr>
        <w:t>Nguyen D et al.  ·  Soc Sci Med  ·  11.08.2026  ·  PMID 42600356</w:t>
      </w:r>
    </w:p>
    <w:p>
      <w:r>
        <w:t>Kohortenstudie mit Querschnittserhebungen 2010/11, 2017/18 und 2023/24 (je ca. 1000 Erwachsene) zur Messung von Einkommensungleichgewichten bei körperlicher Aktivität, psychischem Wohlbefinden und Lebensqualität vor, während und nach Abschluss einer großen urbanen Grünflächenintervention (Connswater Community Greenway, Belfast).</w:t>
      </w:r>
    </w:p>
    <w:p>
      <w:r>
        <w:rPr>
          <w:b/>
        </w:rPr>
        <w:t xml:space="preserve">Ergebnis: </w:t>
      </w:r>
      <w:r>
        <w:t>Über 15 Jahre breite Zunahme von Einkommensungleichgewichten in allen drei Ergebnisvariablen: Höhere Aktivität, besseres Wohlbefinden und höhere Lebensqualität in Hocheinkommensgruppen (Konzentrationsindizes: PA 0,33; MWB 0,03; QLi 0,09). Die Ungleichgewichte verbreiterten sich während der Bauphase 2010–2017 und blieben nach Abschluss stabil. Langzeiterkrankung und Arbeitslosigkeit erklärten 51–76 % der Ungleichgewichte.</w:t>
      </w:r>
    </w:p>
    <w:p>
      <w:r>
        <w:rPr>
          <w:b/>
          <w:sz w:val="19"/>
        </w:rPr>
        <w:t xml:space="preserve">Übertragbarkeit: </w:t>
      </w:r>
      <w:r>
        <w:rPr>
          <w:sz w:val="19"/>
        </w:rPr>
        <w:t>UK; zeigt Grenzen von Infrastrukturintervention ohne Equity-Fokus, methodisch auf Deutschland übertragbar.</w:t>
      </w:r>
    </w:p>
    <w:p>
      <w:r>
        <w:rPr>
          <w:color w:val="5A7D3A"/>
          <w:sz w:val="18"/>
        </w:rPr>
        <w:t>https://pubmed.ncbi.nlm.nih.gov/42600356/</w:t>
      </w:r>
    </w:p>
    <w:p>
      <w:pPr>
        <w:pStyle w:val="Heading1"/>
      </w:pPr>
      <w:r>
        <w:t>Aufgenommen am 26.09.2026</w:t>
      </w:r>
    </w:p>
    <w:p>
      <w:pPr>
        <w:pStyle w:val="Heading2"/>
      </w:pPr>
      <w:r>
        <w:t>Geschlechtsunterschiede bei Hochkonsum-Alkohol: Frauen 18–25 Jahre nähern sich Männern an</w:t>
      </w:r>
    </w:p>
    <w:p>
      <w:r>
        <w:rPr>
          <w:i/>
          <w:color w:val="666666"/>
          <w:sz w:val="18"/>
        </w:rPr>
        <w:t>Hobin E et al.  ·  Health Promot Chronic Dis Prev Can  ·  Sept. 2026  ·  PMID 42788895</w:t>
      </w:r>
    </w:p>
    <w:p>
      <w:r>
        <w:t>Wiederholte Querschnittsanalyse der Canadian Community Health Survey zu Geschlechtsunterschieden bei Heavy Episodic Drinking (HED) 2017–2019 und 2022–2023.</w:t>
      </w:r>
    </w:p>
    <w:p>
      <w:r>
        <w:rPr>
          <w:b/>
        </w:rPr>
        <w:t xml:space="preserve">Ergebnis: </w:t>
      </w:r>
      <w:r>
        <w:t>Gesamt-HED stabil bei ~20 %. Männer hatten insgesamt höhere Prävalenz, aber Unterschiede verengten sich 2022–2023. Bei 18–25-Jährigen: Frauen 27,9 % vs. Männer 24,2 % in 2022–2023 (Differenz −3,7 %, 95%-KI: −9,4 bis 1,9; Konfidenzintervall umfasst Null). Konvergenz besonders bei jungen Erwachsenen.</w:t>
      </w:r>
    </w:p>
    <w:p>
      <w:r>
        <w:rPr>
          <w:b/>
          <w:sz w:val="19"/>
        </w:rPr>
        <w:t xml:space="preserve">Übertragbarkeit: </w:t>
      </w:r>
      <w:r>
        <w:rPr>
          <w:sz w:val="19"/>
        </w:rPr>
        <w:t>Kanada, ähnliche Sozialversicherung; biologisches Risiko (tiefere Toxidität bei Frauen) bekannt, Verhalten ändert sich.</w:t>
      </w:r>
    </w:p>
    <w:p>
      <w:r>
        <w:rPr>
          <w:color w:val="5A7D3A"/>
          <w:sz w:val="18"/>
        </w:rPr>
        <w:t>https://pubmed.ncbi.nlm.nih.gov/42788895/</w:t>
      </w:r>
    </w:p>
    <w:p>
      <w:pPr>
        <w:pStyle w:val="Heading2"/>
      </w:pPr>
      <w:r>
        <w:t>Mütterliche Gesundheit in Nigeria: Digitale Geräte wirken nicht linear auf Inanspruchnahme</w:t>
      </w:r>
    </w:p>
    <w:p>
      <w:r>
        <w:rPr>
          <w:i/>
          <w:color w:val="666666"/>
          <w:sz w:val="18"/>
        </w:rPr>
        <w:t>Oladosun M et al.  ·  Cad Saude Publica  ·  18.09.2026  ·  PMID 42788563</w:t>
      </w:r>
    </w:p>
    <w:p>
      <w:r>
        <w:t>Querschnittanalyse von 28.888 verheirateten Frauen aus Nigeria Demographic and Health Survey 2018 zu Determinanten von Schwangerenvorsorge und Geburtsort.</w:t>
      </w:r>
    </w:p>
    <w:p>
      <w:r>
        <w:rPr>
          <w:b/>
        </w:rPr>
        <w:t xml:space="preserve">Ergebnis: </w:t>
      </w:r>
      <w:r>
        <w:t>Prävalenz ≥6 Vorsorgebesuche 25 %, Klinikengeburt 28,7 %. Mobiltelefon-Besitz positiv assoziiert (OR 1,29 für Vorsorge, OR 1,36 für Klinikgeburt). Internet-Nutzung positiv mit Vorsorge, häufige Internet-Nutzung aber negativ (−). Mobile-Payment negativ mit Klinikgeburt. Bildet komplexes Zusammenspiel von Ungleichheit und digitaler Infrastruktur, nicht linear.</w:t>
      </w:r>
    </w:p>
    <w:p>
      <w:r>
        <w:rPr>
          <w:b/>
          <w:sz w:val="19"/>
        </w:rPr>
        <w:t xml:space="preserve">Übertragbarkeit: </w:t>
      </w:r>
      <w:r>
        <w:rPr>
          <w:sz w:val="19"/>
        </w:rPr>
        <w:t>Nigeria; zeigt: Digitalisierung ist kein allein-Versorgungshebel, sondern überlagert strukturelle Ungleichheit – für Deutschland relevant bei Tele-Medizin-Planung.</w:t>
      </w:r>
    </w:p>
    <w:p>
      <w:r>
        <w:rPr>
          <w:color w:val="5A7D3A"/>
          <w:sz w:val="18"/>
        </w:rPr>
        <w:t>https://pubmed.ncbi.nlm.nih.gov/42788563/</w:t>
      </w:r>
    </w:p>
    <w:p>
      <w:pPr>
        <w:pStyle w:val="Heading2"/>
      </w:pPr>
      <w:r>
        <w:t>Frauen im Gesundheitswesen: Führungsquoten als Hebel für Versorgungsqualität</w:t>
      </w:r>
    </w:p>
    <w:p>
      <w:r>
        <w:rPr>
          <w:i/>
          <w:color w:val="666666"/>
          <w:sz w:val="18"/>
        </w:rPr>
        <w:t>Garth B et al.  ·  Med J Aust  ·  Sept. 2026  ·  PMID 42788226</w:t>
      </w:r>
    </w:p>
    <w:p>
      <w:r>
        <w:t>Konzeptpapier zu Australiens neuen Geschlechtergleichstellungszielen für große Arbeitgeber und deren Umsetzung in Gesundheitsdiensten.</w:t>
      </w:r>
    </w:p>
    <w:p>
      <w:r>
        <w:rPr>
          <w:b/>
        </w:rPr>
        <w:t xml:space="preserve">Ergebnis: </w:t>
      </w:r>
      <w:r>
        <w:t>Frauen stellen Mehrheit der australischen Gesundheitsfachkräfte, sind aber in Führungspositionen unterrepräsentiert. Bindende Zielquoten schaffen institutionelle Verantwortung. Maturity Matrix als Werkzeug zur Verankerung in Governance und Klinischer Rechenschaftspflicht. Gute Umsetzung fördert Personalbindung und bessere Patientenversorgung.</w:t>
      </w:r>
    </w:p>
    <w:p>
      <w:r>
        <w:rPr>
          <w:b/>
          <w:sz w:val="19"/>
        </w:rPr>
        <w:t xml:space="preserve">Übertragbarkeit: </w:t>
      </w:r>
      <w:r>
        <w:rPr>
          <w:sz w:val="19"/>
        </w:rPr>
        <w:t>Australien; Struktur: weniger direkt auf Deutschland übertragbar (andere Führungskultur), aber Mechanismus (Zielquoten → Systemveränderung) prüfenswert.</w:t>
      </w:r>
    </w:p>
    <w:p>
      <w:r>
        <w:rPr>
          <w:color w:val="5A7D3A"/>
          <w:sz w:val="18"/>
        </w:rPr>
        <w:t>https://pubmed.ncbi.nlm.nih.gov/42788226/</w:t>
      </w:r>
    </w:p>
    <w:p>
      <w:pPr>
        <w:pStyle w:val="Heading2"/>
      </w:pPr>
      <w:r>
        <w:t>Geschlechterunterschied bei Appetite-Suppressiva: 15-fach höhere Dosis für Frauen in Südkorea</w:t>
      </w:r>
    </w:p>
    <w:p>
      <w:r>
        <w:rPr>
          <w:i/>
          <w:color w:val="666666"/>
          <w:sz w:val="18"/>
        </w:rPr>
        <w:t>Kim JH et al.  ·  Pharmacoepidemiol Drug Saf  ·  Okt. 2026  ·  PMID 42788194</w:t>
      </w:r>
    </w:p>
    <w:p>
      <w:r>
        <w:t>Analyse der Narkotica-Datenbank Südkoreas 2019–2023 zur Nutzung von kontrollierten Substanzen außerhalb der Krankenversicherung.</w:t>
      </w:r>
    </w:p>
    <w:p>
      <w:r>
        <w:rPr>
          <w:b/>
        </w:rPr>
        <w:t xml:space="preserve">Ergebnis: </w:t>
      </w:r>
      <w:r>
        <w:t>Frauen (Durchschnittsalter 30–49 Jahre) erhielten an Primärkliniken ca. 440 geschätzte Dispensierungseinheiten pro 1000 Frauen/Monat für Anorexigenanzien – etwa 15-mal höher als Männer. Muster deutet auf Off-Label-Verschreibung zu kosmetischen Zwecken hin. ADHD-Medikamente zeigten umgekehrtes Muster mit männlichem Übergewicht, besonders bei Adoleszenten (10–19 Jahre).</w:t>
      </w:r>
    </w:p>
    <w:p>
      <w:r>
        <w:rPr>
          <w:b/>
          <w:sz w:val="19"/>
        </w:rPr>
        <w:t xml:space="preserve">Übertragbarkeit: </w:t>
      </w:r>
      <w:r>
        <w:rPr>
          <w:sz w:val="19"/>
        </w:rPr>
        <w:t>Südkorea, Pharmakovigilanz außerhalb Versicherung; Deutschland: Daten zu Reimbursement-Lücke fehlen.</w:t>
      </w:r>
    </w:p>
    <w:p>
      <w:r>
        <w:rPr>
          <w:color w:val="5A7D3A"/>
          <w:sz w:val="18"/>
        </w:rPr>
        <w:t>https://pubmed.ncbi.nlm.nih.gov/42788194/</w:t>
      </w:r>
    </w:p>
    <w:p>
      <w:pPr>
        <w:pStyle w:val="Heading2"/>
      </w:pPr>
      <w:r>
        <w:t>Frauen bauen Nähe durch neuronale Synchronisation auf, Männer nicht – fNIRS-Befund</w:t>
      </w:r>
    </w:p>
    <w:p>
      <w:r>
        <w:rPr>
          <w:i/>
          <w:color w:val="666666"/>
          <w:sz w:val="18"/>
        </w:rPr>
        <w:t>Li Y et al.  ·  BMC Psychol  ·  10.08.2026  ·  PMID 42768383</w:t>
      </w:r>
    </w:p>
    <w:p>
      <w:r>
        <w:t>Hyperscanning-Studie mit fNIRS: 32 weibliche und 30 männliche Dyaden von Fremden in gestuftem Selbstoffenbarungsparadigma (oberflächlich bis tiefe Intimität).</w:t>
      </w:r>
    </w:p>
    <w:p>
      <w:r>
        <w:rPr>
          <w:b/>
        </w:rPr>
        <w:t xml:space="preserve">Ergebnis: </w:t>
      </w:r>
      <w:r>
        <w:t>Bei tiefem gegenseitigem Austausch: signifikante Erhöhung interpersoneller neuronaler Synchronisation (INS) DLPFC-TPJ. Geschlecht moderiert Beziehung INS ↔ Nähe (β=−0,386, p-FDR=0,025). Weibliche Dyaden: INS mediiert Selbstoffenbarung→Nähe (indirekter Effekt 0,03); männliche Dyaden: kein Mediationseffekt. Beziehungsaufbau bei Frauen stärker auf emotionaler Expressivität und INS gestützt.</w:t>
      </w:r>
    </w:p>
    <w:p>
      <w:r>
        <w:rPr>
          <w:b/>
          <w:sz w:val="19"/>
        </w:rPr>
        <w:t xml:space="preserve">Übertragbarkeit: </w:t>
      </w:r>
      <w:r>
        <w:rPr>
          <w:sz w:val="19"/>
        </w:rPr>
        <w:t>China (Macau); Grundlagenbefund; Übertragung auf Versorgung würde voraussetzen, dass therapeutische Beziehung als kritischer Ausgang gilt – gilt in Psychotherapie/Psychiatrie, nicht allgemeine Medizin.</w:t>
      </w:r>
    </w:p>
    <w:p>
      <w:r>
        <w:rPr>
          <w:color w:val="5A7D3A"/>
          <w:sz w:val="18"/>
        </w:rPr>
        <w:t>https://pubmed.ncbi.nlm.nih.gov/42768383/</w:t>
      </w:r>
    </w:p>
    <w:p>
      <w:pPr>
        <w:pStyle w:val="Heading2"/>
      </w:pPr>
      <w:r>
        <w:t>PrEP-Nutzung reduziert Depression bei schwulen Männern und trans Frauen in Thailand</w:t>
      </w:r>
    </w:p>
    <w:p>
      <w:r>
        <w:rPr>
          <w:i/>
          <w:color w:val="666666"/>
          <w:sz w:val="18"/>
        </w:rPr>
        <w:t>Lynn KS et al.  ·  F1000Res  ·  15.09.2026  ·  PMID 42760901</w:t>
      </w:r>
    </w:p>
    <w:p>
      <w:r>
        <w:t>Querschnittstudie bei 150 MSM und Transgender Frauen (75 PrEP-Nutzer, 75 nicht) in zwei HIV-Präventionskliniken Chiang Mai; Depressionswerte (PHQ-9) und Suizidalität (C-SSRS).</w:t>
      </w:r>
    </w:p>
    <w:p>
      <w:r>
        <w:rPr>
          <w:b/>
        </w:rPr>
        <w:t xml:space="preserve">Ergebnis: </w:t>
      </w:r>
      <w:r>
        <w:t>PrEP-Nutzer: Depression MW 3,80±3,46 vs. Nicht-Nutzer 5,96±3,76 (Differenz −2,16, 95%-KI: −0,99 bis −3,33; p&lt;0,001). Suizidalität: 6,7 % (PrEP) vs. 4,0 % (Kontrolle), kein signifikanter Unterschied (p=0,719). In adjustiertes Modell: PrEP unabhängig mit niedrigerer Depression assoziiert (B=−1,77, 95%-KI: −3,07 bis −0,47; p=0,008). Diskriminierungserlebnis positiv mit höherer Depression assoziiert (B=−1,32).</w:t>
      </w:r>
    </w:p>
    <w:p>
      <w:r>
        <w:rPr>
          <w:b/>
          <w:sz w:val="19"/>
        </w:rPr>
        <w:t xml:space="preserve">Übertragbarkeit: </w:t>
      </w:r>
      <w:r>
        <w:rPr>
          <w:sz w:val="19"/>
        </w:rPr>
        <w:t>Thailand; zeigt Versorgungszugang (PrEP) reduziert Minderheitenstress – Aussage zu Zugang/Stigma, nicht Biologie; Übertragbarkeit auf Deutschland abhängig von PrEP-Verfügbarkeit und Stigmaklima.</w:t>
      </w:r>
    </w:p>
    <w:p>
      <w:r>
        <w:rPr>
          <w:color w:val="5A7D3A"/>
          <w:sz w:val="18"/>
        </w:rPr>
        <w:t>https://pubmed.ncbi.nlm.nih.gov/42760901/</w:t>
      </w:r>
    </w:p>
    <w:p>
      <w:pPr>
        <w:pStyle w:val="Heading1"/>
      </w:pPr>
      <w:r>
        <w:t>Aufgenommen am 25.09.2026</w:t>
      </w:r>
    </w:p>
    <w:p>
      <w:pPr>
        <w:pStyle w:val="Heading2"/>
      </w:pPr>
      <w:r>
        <w:t>Demenziadiagnosen und Sterblichkeit bei Typ-2-Diabetes-Patienten: Spanische Routinedaten zeigen Geschlechtsmuster</w:t>
      </w:r>
    </w:p>
    <w:p>
      <w:r>
        <w:rPr>
          <w:i/>
          <w:color w:val="666666"/>
          <w:sz w:val="18"/>
        </w:rPr>
        <w:t>Cuadrado-Corrales N et al.  ·  PLoS One  ·  24.09.2026  ·  PMID 42784648</w:t>
      </w:r>
    </w:p>
    <w:p>
      <w:r>
        <w:t>Retrospektive Analyse von 2,79 Millionen Krankenhausaufnahmen mit Typ-2-Diabetes (2021-2024) aus der Spanischen Nationalen Entlassungsdatenbank zur Untersuchung von Geschlechtsunterschieden in Demenzhäufigkeit und Kliniksterblichkeit.</w:t>
      </w:r>
    </w:p>
    <w:p>
      <w:r>
        <w:rPr>
          <w:b/>
        </w:rPr>
        <w:t xml:space="preserve">Ergebnis: </w:t>
      </w:r>
      <w:r>
        <w:t>Frauen hatten einen höheren Anteil an Demenzkodierungen (6,48 % aller T2DM-Aufnahmen); bei Aufnahmen mit Demenz zeigten Frauen eine niedrigere adjustierte Odds Ratio für Kliniksterblichkeit als Männer. Alzheimer-Demenz betraf 2,88 % mit 16,3 % Kliniksterblichkeit. Vaskuläre Demenz war mit Prior-Schlag/TIA stark assoziiert (aOR 5,89; 95%-KI 5,69–6,09). Administrative Daten ermöglichen keine Kausalaussage, zeigen aber ein Geschlechtsmuster in Prognose.</w:t>
      </w:r>
    </w:p>
    <w:p>
      <w:r>
        <w:rPr>
          <w:b/>
          <w:sz w:val="19"/>
        </w:rPr>
        <w:t xml:space="preserve">Übertragbarkeit: </w:t>
      </w:r>
      <w:r>
        <w:rPr>
          <w:sz w:val="19"/>
        </w:rPr>
        <w:t>Spanien, nationale Routinedaten mit Geschlechtertrennung, europäischer Kontext.</w:t>
      </w:r>
    </w:p>
    <w:p>
      <w:r>
        <w:rPr>
          <w:color w:val="5A7D3A"/>
          <w:sz w:val="18"/>
        </w:rPr>
        <w:t>https://pubmed.ncbi.nlm.nih.gov/42784648/</w:t>
      </w:r>
    </w:p>
    <w:p>
      <w:pPr>
        <w:pStyle w:val="Heading2"/>
      </w:pPr>
      <w:r>
        <w:t>Tabakkonsum und Suchtkomorbidität bei Minderheiten: Versorgungsungleichheiten in den USA</w:t>
      </w:r>
    </w:p>
    <w:p>
      <w:r>
        <w:rPr>
          <w:i/>
          <w:color w:val="666666"/>
          <w:sz w:val="18"/>
        </w:rPr>
        <w:t>Higgins ST  ·  Prev Med  ·  25.10.2025  ·  PMID 42777124</w:t>
      </w:r>
    </w:p>
    <w:p>
      <w:r>
        <w:t>Überblicksartikel über 13 Fachantikel zum Schwerpunkt Schnittmengen von Tabakkonsum mit anderen Süchten, chronischen Erkrankungen und Gesundheitsdispositionen sowie Interventionen zur Reduktion.</w:t>
      </w:r>
    </w:p>
    <w:p>
      <w:r>
        <w:rPr>
          <w:b/>
        </w:rPr>
        <w:t xml:space="preserve">Ergebnis: </w:t>
      </w:r>
      <w:r>
        <w:t>Das Spezialthema dokumentiert die disproportionale Auswirkung des Rauchens auf vulnerable Bevölkerungsgruppen, Schnittmengen mit anderen Suchterkrankungen, chronischen Erkrankungen und Gesundheitsdispositionen sowie klinische und regulatorische Interventionen zur Reduktion und Minderung ungünstiger Gesundheitseffekte. Rauchen verursacht etwa 450.000 Todesfälle jährlich in den USA.</w:t>
      </w:r>
    </w:p>
    <w:p>
      <w:r>
        <w:rPr>
          <w:b/>
          <w:sz w:val="19"/>
        </w:rPr>
        <w:t xml:space="preserve">Übertragbarkeit: </w:t>
      </w:r>
      <w:r>
        <w:rPr>
          <w:sz w:val="19"/>
        </w:rPr>
        <w:t>USA-Fokus, Methodenüberblick zu Health-Disparities-Forschung, begrenzte direkte Übertragbarkeit.</w:t>
      </w:r>
    </w:p>
    <w:p>
      <w:r>
        <w:rPr>
          <w:color w:val="5A7D3A"/>
          <w:sz w:val="18"/>
        </w:rPr>
        <w:t>https://pubmed.ncbi.nlm.nih.gov/42777124/</w:t>
      </w:r>
    </w:p>
    <w:p>
      <w:pPr>
        <w:pStyle w:val="Heading2"/>
      </w:pPr>
      <w:r>
        <w:t>Instagram-Content zu Frauengesundheit ist von Interessenskonflikten und Werbekommunikation dominiert</w:t>
      </w:r>
    </w:p>
    <w:p>
      <w:r>
        <w:rPr>
          <w:i/>
          <w:color w:val="666666"/>
          <w:sz w:val="18"/>
        </w:rPr>
        <w:t>Nickel B et al.  ·  Health Promot Int  ·  01.09.2026  ·  PMID 42773967</w:t>
      </w:r>
    </w:p>
    <w:p>
      <w:r>
        <w:t>Inhaltsanalyse von 472 Instagram-Posts mit dem Hashtag #womenshealth zur Untersuchung von Gesundheitsinformationen, Interessenskonflikten und wissenschaftlichen Belegen.</w:t>
      </w:r>
    </w:p>
    <w:p>
      <w:r>
        <w:rPr>
          <w:b/>
        </w:rPr>
        <w:t xml:space="preserve">Ergebnis: </w:t>
      </w:r>
      <w:r>
        <w:t>Von 472 Posts wurden 63 % von Einzelpersonen erstellt (162 von anderen/alternativen Gesundheitsfachleuten, 105 von Medizinern). 56 % richteten sich auf allgemeine Gesundheitsinformationen, 16 % warben für Medikamente/Supplements. Hormonale und Reproduktionsgesundheit war Thema in 48 % (58 Posts zu Menopause/Perimenopause). 69 % stellten explizite Gesundheitsaussagen dar, aber nur 7 % bezogen sich auf wissenschaftliche Evidenz. 51 % der Account-Inhaber hatten klare finanzielle Interessen, 39 % der Posts verkauften direkt ein Produkt. Das zeigt ein von Non-Experten und kommerzieller Ausrichtung dominiertes Umfeld.</w:t>
      </w:r>
    </w:p>
    <w:p>
      <w:r>
        <w:rPr>
          <w:b/>
          <w:sz w:val="19"/>
        </w:rPr>
        <w:t xml:space="preserve">Übertragbarkeit: </w:t>
      </w:r>
      <w:r>
        <w:rPr>
          <w:sz w:val="19"/>
        </w:rPr>
        <w:t>Medienanalyse mit Relevanz für deutschsprachige Länder, regulatorische Implikationen.</w:t>
      </w:r>
    </w:p>
    <w:p>
      <w:r>
        <w:rPr>
          <w:color w:val="5A7D3A"/>
          <w:sz w:val="18"/>
        </w:rPr>
        <w:t>https://pubmed.ncbi.nlm.nih.gov/42773967/</w:t>
      </w:r>
    </w:p>
    <w:p>
      <w:pPr>
        <w:pStyle w:val="Heading2"/>
      </w:pPr>
      <w:r>
        <w:t>Gerechtigkeitsintervention für schwarze Männer mit niedriger Einkommen: sozialökologische Barrieren identifiziert</w:t>
      </w:r>
    </w:p>
    <w:p>
      <w:r>
        <w:rPr>
          <w:i/>
          <w:color w:val="666666"/>
          <w:sz w:val="18"/>
        </w:rPr>
        <w:t>Marshall SA et al.  ·  PLoS One  ·  22.09.2026  ·  PMID 42771574</w:t>
      </w:r>
    </w:p>
    <w:p>
      <w:r>
        <w:t>Qualitative Studie mit 31 Stakeholdern (einschließlich Angehöriger der Zielgruppe) in den USA zur Analyse von Faktoren für erfolgreiche Interventionen zur Verbesserung der Gesundheit schwarzer Männer mit chronischen Erkrankungen und niedrigen Einkommen.</w:t>
      </w:r>
    </w:p>
    <w:p>
      <w:r>
        <w:rPr>
          <w:b/>
        </w:rPr>
        <w:t xml:space="preserve">Ergebnis: </w:t>
      </w:r>
      <w:r>
        <w:t>Folgende Themenbereiche wurden identifiziert: (1) Zielgruppe verzögert Gesundheitsversorgung, (2) Beziehungen sind durch Inhaftierung oder Armut belastet, (3) Gefängnisgesundheits- und Gesundheitssysteme sind nicht hilfreich strukturiert, (4) viele Barrieren innerhalb der Gemeinschaft, (5) Rassismus und Armut sind verflechtete, verankerte Versorgungsbarrieren. Gerechtigkeitsinterventionen müssen Faktoren auf individueller, zwischenmenschlicher, gemeinschaftlicher und institutioneller Ebene adressieren.</w:t>
      </w:r>
    </w:p>
    <w:p>
      <w:r>
        <w:rPr>
          <w:b/>
          <w:sz w:val="19"/>
        </w:rPr>
        <w:t xml:space="preserve">Übertragbarkeit: </w:t>
      </w:r>
      <w:r>
        <w:rPr>
          <w:sz w:val="19"/>
        </w:rPr>
        <w:t>USA mit struktureller Rassismuskomponente, begrenzte Übertragbarkeit auf deutsches System, aber Methodenrelevanz für Equity-Forschung.</w:t>
      </w:r>
    </w:p>
    <w:p>
      <w:r>
        <w:rPr>
          <w:color w:val="5A7D3A"/>
          <w:sz w:val="18"/>
        </w:rPr>
        <w:t>https://pubmed.ncbi.nlm.nih.gov/42771574/</w:t>
      </w:r>
    </w:p>
    <w:p>
      <w:pPr>
        <w:pStyle w:val="Heading2"/>
      </w:pPr>
      <w:r>
        <w:t>Sexuelle Gewalt-Prävention: Frauen und bisexuelle Personen zeigen niedrigere sexuelle Koercion</w:t>
      </w:r>
    </w:p>
    <w:p>
      <w:r>
        <w:rPr>
          <w:i/>
          <w:color w:val="666666"/>
          <w:sz w:val="18"/>
        </w:rPr>
        <w:t>Hidalgo-Muñoz AR et al.  ·  Arch Sex Behav  ·  08.09.2026  ·  PMID 42711548</w:t>
      </w:r>
    </w:p>
    <w:p>
      <w:r>
        <w:t>Validierungsstudie der spanischen Version der Process-Based Consent Scale (PBCS) mit 726 Teilnehmern (505 Frauen, 209 Männer, 7 nonbinär) unterschiedlicher sexueller Orientierungen zur Analyse von Geschlechts- und Orientierungsunterschieden in sexueller Zustimmung und Koercion.</w:t>
      </w:r>
    </w:p>
    <w:p>
      <w:r>
        <w:rPr>
          <w:b/>
        </w:rPr>
        <w:t xml:space="preserve">Ergebnis: </w:t>
      </w:r>
      <w:r>
        <w:t>Geschlechtsunterschiede zeigten sich in zwei von drei PBCS-Faktoren. Nach sexueller Orientierung gab es Unterschiede mit weniger sexueller Koercion durch bisexuelle Frauen. Die spanische PBCS ist ein zuverlässiges Messinstrument für die spanische Population und könnte zur Prävention und Intervention bei sexueller Gewalt beitragen, die auf individuelle Unterschiede zugeschnitten ist.</w:t>
      </w:r>
    </w:p>
    <w:p>
      <w:r>
        <w:rPr>
          <w:b/>
          <w:sz w:val="19"/>
        </w:rPr>
        <w:t xml:space="preserve">Übertragbarkeit: </w:t>
      </w:r>
      <w:r>
        <w:rPr>
          <w:sz w:val="19"/>
        </w:rPr>
        <w:t>Spanien, europäischer Kontext, Validierungsstudium mit klinischer Anwendung.</w:t>
      </w:r>
    </w:p>
    <w:p>
      <w:r>
        <w:rPr>
          <w:color w:val="5A7D3A"/>
          <w:sz w:val="18"/>
        </w:rPr>
        <w:t>https://pubmed.ncbi.nlm.nih.gov/42711548/</w:t>
      </w:r>
    </w:p>
    <w:p>
      <w:pPr>
        <w:pStyle w:val="Heading2"/>
      </w:pPr>
      <w:r>
        <w:t>Diskriminierungserfahrungen beeinträchtigen Vertrauen und Versorgungszugang bei sexuellen und Geschlechtsminderheiten in Spanien</w:t>
      </w:r>
    </w:p>
    <w:p>
      <w:r>
        <w:rPr>
          <w:i/>
          <w:color w:val="666666"/>
          <w:sz w:val="18"/>
        </w:rPr>
        <w:t>Miranda-Tena A et al.  ·  Arch Sex Behav  ·  03.09.2026  ·  PMID 42690247</w:t>
      </w:r>
    </w:p>
    <w:p>
      <w:r>
        <w:t>Querschnittstudie mit 217 Teilnehmern (144 cisgender heterosexuell, 73 sexuelle/Geschlechtsminderheiten) in Spanien zu Diskriminierungserfahrungen im Gesundheitswesen, Vertrauen in Anbieter und Versorgungszugang.</w:t>
      </w:r>
    </w:p>
    <w:p>
      <w:r>
        <w:rPr>
          <w:b/>
        </w:rPr>
        <w:t xml:space="preserve">Ergebnis: </w:t>
      </w:r>
      <w:r>
        <w:t>Sexuelle und Geschlechtsminderheiten berichteten höheres wahrgenommenes Diskriminierungserleben, größere psychische Belastung, niedrigeres Vertrauen in Anbieter und mehr Verzögerungen bei der Inanspruchnahme von Versorgung als cisgender heterosexuelle Teilnehmer. Qualitative Analysen zeigten, dass Diskriminierung (Misgendering, medizinischer Paternalismus, moralische Verurteilung) im klinischen Alltag erlebt wurde und mit Identitätsverheimlichung und Vertrauenserosion verbunden war. Universal Health Coverage ist ohne affirmativer, kulturell kompetenter Versorgung unzureichend.</w:t>
      </w:r>
    </w:p>
    <w:p>
      <w:r>
        <w:rPr>
          <w:b/>
          <w:sz w:val="19"/>
        </w:rPr>
        <w:t xml:space="preserve">Übertragbarkeit: </w:t>
      </w:r>
      <w:r>
        <w:rPr>
          <w:sz w:val="19"/>
        </w:rPr>
        <w:t>Spanien, europäisches Versicherungssystem, qualitative und quantitative Daten zu Zugangsbarrieren.</w:t>
      </w:r>
    </w:p>
    <w:p>
      <w:r>
        <w:rPr>
          <w:color w:val="5A7D3A"/>
          <w:sz w:val="18"/>
        </w:rPr>
        <w:t>https://pubmed.ncbi.nlm.nih.gov/42690247/</w:t>
      </w:r>
    </w:p>
    <w:p>
      <w:pPr>
        <w:pStyle w:val="Heading1"/>
      </w:pPr>
      <w:r>
        <w:t>Aufgenommen am 24.09.2026</w:t>
      </w:r>
    </w:p>
    <w:p>
      <w:pPr>
        <w:pStyle w:val="Heading2"/>
      </w:pPr>
      <w:r>
        <w:t>Englischkenntnisse und Gesundheitsergebnisse: Routinedaten zeigen höhere Krankheitslast bei schlechteren Sprachkenntnissen</w:t>
      </w:r>
    </w:p>
    <w:p>
      <w:r>
        <w:rPr>
          <w:i/>
          <w:color w:val="666666"/>
          <w:sz w:val="18"/>
        </w:rPr>
        <w:t>Yeoh S et al.  ·  PLoS One  ·  19.08.2026  ·  PMID 42616717</w:t>
      </w:r>
    </w:p>
    <w:p>
      <w:r>
        <w:t>Populationsbasierte Studie zur Assoziation zwischen Englischproficiency und Gesundheitsstatus sowie Inanspruchnahme von Primär- und Sekundärversorgung in England.</w:t>
      </w:r>
    </w:p>
    <w:p>
      <w:r>
        <w:rPr>
          <w:b/>
        </w:rPr>
        <w:t xml:space="preserve">Ergebnis: </w:t>
      </w:r>
      <w:r>
        <w:t>Patienten mit geringen Englischkenntnissen zeigten höhere altersadaptierte Prävalenzen von kardiometabolischen Erkrankungen sowie signifikant höhere Inanspruchnahme von Primär- und Sekundärvergung. Dies deutet auf strukturelle Barrieren beim Zugang hin, nicht auf biologische Unterschiede.</w:t>
      </w:r>
    </w:p>
    <w:p>
      <w:r>
        <w:rPr>
          <w:b/>
          <w:sz w:val="19"/>
        </w:rPr>
        <w:t xml:space="preserve">Übertragbarkeit: </w:t>
      </w:r>
      <w:r>
        <w:rPr>
          <w:sz w:val="19"/>
        </w:rPr>
        <w:t>Großbritannien; vergleichbares System; Datenqualität ähnlich deutschen Abrechnungsdaten</w:t>
      </w:r>
    </w:p>
    <w:p>
      <w:r>
        <w:rPr>
          <w:color w:val="5A7D3A"/>
          <w:sz w:val="18"/>
        </w:rPr>
        <w:t>https://pubmed.ncbi.nlm.nih.gov/42616717/</w:t>
      </w:r>
    </w:p>
    <w:p>
      <w:pPr>
        <w:pStyle w:val="Heading1"/>
      </w:pPr>
      <w:r>
        <w:t>Aufgenommen am 23.09.2026</w:t>
      </w:r>
    </w:p>
    <w:p>
      <w:pPr>
        <w:pStyle w:val="Heading2"/>
      </w:pPr>
      <w:r>
        <w:t>Geschlechtsspezifische Atemmuskelkraft-Grenzwerte älterer Frauen</w:t>
      </w:r>
    </w:p>
    <w:p>
      <w:r>
        <w:rPr>
          <w:i/>
          <w:color w:val="666666"/>
          <w:sz w:val="18"/>
        </w:rPr>
        <w:t>Park TS et al.  ·  J Korean Med Sci  ·  21.09.2026  ·  PMID 42773075</w:t>
      </w:r>
    </w:p>
    <w:p>
      <w:r>
        <w:t>Querschnittstudie mit 88 älteren Frauen (≥65 Jahre), um geschlechtsspezifische Cut-off-Werte für maximalen inspiratorischen und exspiratorischen Druck als Screening-Tool für Atemmuskel-Sarcopenie zu etablieren.</w:t>
      </w:r>
    </w:p>
    <w:p>
      <w:r>
        <w:rPr>
          <w:b/>
        </w:rPr>
        <w:t xml:space="preserve">Ergebnis: </w:t>
      </w:r>
      <w:r>
        <w:t>ROC-abgeleitete Cut-off-Werte: MIP 28,50 cmH₂O (AUC 0,81, 95%-KI 0,70-0,93), MEP 49,50 cmH₂O (AUC 0,78, 95%-KI 0,64-0,92). MIP und MEP korrelieren signifikant mit Handgriffkraft (r=0,318 u. 0,323) und Muskelmasse-Index (r=0,291 u. 0,255). Geschlechts- und altersgerechte Werte verbessern diagnostische Präzision.</w:t>
      </w:r>
    </w:p>
    <w:p>
      <w:r>
        <w:rPr>
          <w:b/>
          <w:sz w:val="19"/>
        </w:rPr>
        <w:t xml:space="preserve">Übertragbarkeit: </w:t>
      </w:r>
      <w:r>
        <w:rPr>
          <w:sz w:val="19"/>
        </w:rPr>
        <w:t>Südkorea - Validierungsstudie mit biologischen Messwerten, Übertragbarkeit auf europäische ältere Bevölkerungen</w:t>
      </w:r>
    </w:p>
    <w:p>
      <w:r>
        <w:rPr>
          <w:color w:val="5A7D3A"/>
          <w:sz w:val="18"/>
        </w:rPr>
        <w:t>https://pubmed.ncbi.nlm.nih.gov/42773075/</w:t>
      </w:r>
    </w:p>
    <w:p>
      <w:pPr>
        <w:pStyle w:val="Heading2"/>
      </w:pPr>
      <w:r>
        <w:t>Geschlechterunterschiede in Lippenspalten variieren nach Typ und Ausprägung</w:t>
      </w:r>
    </w:p>
    <w:p>
      <w:r>
        <w:rPr>
          <w:i/>
          <w:color w:val="666666"/>
          <w:sz w:val="18"/>
        </w:rPr>
        <w:t>Yanagisawa H et al.  ·  Congenit Anom (Kyoto)  ·  Jan. 2026  ·  PMID 42768403</w:t>
      </w:r>
    </w:p>
    <w:p>
      <w:r>
        <w:t>Retrospektive Kohortenstudie mit 4.548 japanischen Patienten mit Lippen-Kiefer-Gaumenspalten, um geschlechtsspezifische Unterschiede in Prävalenz und Ausprägung zu untersuchen.</w:t>
      </w:r>
    </w:p>
    <w:p>
      <w:r>
        <w:rPr>
          <w:b/>
        </w:rPr>
        <w:t xml:space="preserve">Ergebnis: </w:t>
      </w:r>
      <w:r>
        <w:t>Männer zeigten Übergewicht bei Lippenspalten und kombinierten Spalten (besonders unvollständig); Frauen bei isolierten Gaumenspalten (stärker bei Hard-palate-Beteiligung). Der Geschlechtsunterschied variiert mit Spalttyp, Seitigkeit und Ausmaß: Männer überwiegen bei leichteren CL/CLP, Frauen bei schwerereren CP-Formen.</w:t>
      </w:r>
    </w:p>
    <w:p>
      <w:r>
        <w:rPr>
          <w:b/>
          <w:sz w:val="19"/>
        </w:rPr>
        <w:t xml:space="preserve">Übertragbarkeit: </w:t>
      </w:r>
      <w:r>
        <w:rPr>
          <w:sz w:val="19"/>
        </w:rPr>
        <w:t>Japan - Kohortenbasis, Geschlechtsunterschiede in Entwicklungsstörungen sind international vergleichbar</w:t>
      </w:r>
    </w:p>
    <w:p>
      <w:r>
        <w:rPr>
          <w:color w:val="5A7D3A"/>
          <w:sz w:val="18"/>
        </w:rPr>
        <w:t>https://pubmed.ncbi.nlm.nih.gov/42768403/</w:t>
      </w:r>
    </w:p>
    <w:p>
      <w:pPr>
        <w:pStyle w:val="Heading2"/>
      </w:pPr>
      <w:r>
        <w:t>Angststörungen in Kolumbien: Geschlechtsspezifische Belastung 2016-2022</w:t>
      </w:r>
    </w:p>
    <w:p>
      <w:r>
        <w:rPr>
          <w:i/>
          <w:color w:val="666666"/>
          <w:sz w:val="18"/>
        </w:rPr>
        <w:t>Gutierrez-Lesmes OA et al.  ·  Popul Health Metr  ·  15.09.2026  ·  PMID 42768356</w:t>
      </w:r>
    </w:p>
    <w:p>
      <w:r>
        <w:t>Longitudinale ökologische Studie mit administrativen Gesundheitsdaten zu Angststörungen in 32 kolumbianischen Departements mit Berechnung behinderungsadjustierter Lebensjahre (DALYs).</w:t>
      </w:r>
    </w:p>
    <w:p>
      <w:r>
        <w:rPr>
          <w:b/>
        </w:rPr>
        <w:t xml:space="preserve">Ergebnis: </w:t>
      </w:r>
      <w:r>
        <w:t>3.055.505 Fälle, 1.266.489 DALYs identifiziert. Altersstandardisierte DALY-Rate stieg von 177,9 (2016) auf 687,4 pro 100.000 (2022; jährliche Änderung +25,41%, 95%-KI 19,48-31,63). Frauen zeigten durchgehend höhere Belastung als Männer; erhebliche territoriale Ungleichheiten (Andean-Region am höchsten).</w:t>
      </w:r>
    </w:p>
    <w:p>
      <w:r>
        <w:rPr>
          <w:b/>
          <w:sz w:val="19"/>
        </w:rPr>
        <w:t xml:space="preserve">Übertragbarkeit: </w:t>
      </w:r>
      <w:r>
        <w:rPr>
          <w:sz w:val="19"/>
        </w:rPr>
        <w:t>Lateinamerika - administrative Routinedaten zeigen geschlechterspezifische Muster, aber größere Ressourcendisparitäten zu Deutschland</w:t>
      </w:r>
    </w:p>
    <w:p>
      <w:r>
        <w:rPr>
          <w:color w:val="5A7D3A"/>
          <w:sz w:val="18"/>
        </w:rPr>
        <w:t>https://pubmed.ncbi.nlm.nih.gov/42768356/</w:t>
      </w:r>
    </w:p>
    <w:p>
      <w:pPr>
        <w:pStyle w:val="Heading2"/>
      </w:pPr>
      <w:r>
        <w:t>Psychische Belastung von Lesben und bisexuellen Frauen in chinesischen Hochschulen</w:t>
      </w:r>
    </w:p>
    <w:p>
      <w:r>
        <w:rPr>
          <w:i/>
          <w:color w:val="666666"/>
          <w:sz w:val="18"/>
        </w:rPr>
        <w:t>Liu Y  ·  Front Public Health  ·  28.08.2026  ·  PMID 42729124</w:t>
      </w:r>
    </w:p>
    <w:p>
      <w:r>
        <w:t>Qualitative Interviewstudie mit 8 selbstidentifizierten lesbischen/bisexuellen cisgender Frauen an chinesischen Universitäten, um Mechanismen von strukturiertem Stigma und psychischer Belastung zu untersuchen (Minority-Stress-Modell).</w:t>
      </w:r>
    </w:p>
    <w:p>
      <w:r>
        <w:rPr>
          <w:b/>
        </w:rPr>
        <w:t xml:space="preserve">Ergebnis: </w:t>
      </w:r>
      <w:r>
        <w:t>Fünf Themen identifiziert: (1) Strukturelle Ungleichheit als Angst und kognitive Wachsamkeit; (2) institutionelle Ressourcendeprivation; (3) erlebtes und internalisiertes Stigma (Scham, Identitätsverborgenheit, depressive Symptome); (4) intersektionale Unsichtbarkeit verstärkt Belastung; (5) institutionelle Unterstützung puffert ab. Drei Mediationspfade wirksam: sozial-kognitiv, emotional-regulatorisch, interpersonell.</w:t>
      </w:r>
    </w:p>
    <w:p>
      <w:r>
        <w:rPr>
          <w:b/>
          <w:sz w:val="19"/>
        </w:rPr>
        <w:t xml:space="preserve">Übertragbarkeit: </w:t>
      </w:r>
      <w:r>
        <w:rPr>
          <w:sz w:val="19"/>
        </w:rPr>
        <w:t>China - qualitative Mechanismusforschung zu Zugangsbarr ieren und Stigma-Verarbeitung; Erkenntnisse zu Diskriminierungsvermeidung auf Versorgungsebene übertragbar</w:t>
      </w:r>
    </w:p>
    <w:p>
      <w:r>
        <w:rPr>
          <w:color w:val="5A7D3A"/>
          <w:sz w:val="18"/>
        </w:rPr>
        <w:t>https://pubmed.ncbi.nlm.nih.gov/42729124/</w:t>
      </w:r>
    </w:p>
    <w:p>
      <w:pPr>
        <w:pStyle w:val="Heading2"/>
      </w:pPr>
      <w:r>
        <w:t>Konversionspraktiken und psychische Gesundheit bei LGBTQ-Menschen in Portugal</w:t>
      </w:r>
    </w:p>
    <w:p>
      <w:r>
        <w:rPr>
          <w:i/>
          <w:color w:val="666666"/>
          <w:sz w:val="18"/>
        </w:rPr>
        <w:t>Costa PA et al.  ·  LGBT Health  ·  14.08.2026  ·  PMID 42598799</w:t>
      </w:r>
    </w:p>
    <w:p>
      <w:r>
        <w:t>Online-Querschnittsumfrage mit 424 sexuell und geschlechtlich diversen Personen zu Erfahrungen mit Konversionspraktiken und deren Assoziation mit psychischer Belastung (CORE-Outcome Measure).</w:t>
      </w:r>
    </w:p>
    <w:p>
      <w:r>
        <w:rPr>
          <w:b/>
        </w:rPr>
        <w:t xml:space="preserve">Ergebnis: </w:t>
      </w:r>
      <w:r>
        <w:t>21,7% (n=91) berichteten Konversionspraxis-Exposition, davon 22% durch Mental-Health-Professional durchgeführt; 38,5% suchten aktiv danach, 61,5% wurden dazu gedrängt/gezwungen. Durchschnittsalter bei Start: 16,5 Jahre. Teilnehmer mit Konversionserfahrung zeigten signifikant niedrigeres Wohlbefinden und Funktionsfähigkeit, höhere Symptombelastung (p&lt;0,05) als Nicht-Exponierte.</w:t>
      </w:r>
    </w:p>
    <w:p>
      <w:r>
        <w:rPr>
          <w:b/>
          <w:sz w:val="19"/>
        </w:rPr>
        <w:t xml:space="preserve">Übertragbarkeit: </w:t>
      </w:r>
      <w:r>
        <w:rPr>
          <w:sz w:val="19"/>
        </w:rPr>
        <w:t>Portugal, südliches Europa - EU-Kontext mit ähnlichen Schutzgesetzgebungsdefiziten; zeigt Versorgungsschaden durch schädliche Praktiken</w:t>
      </w:r>
    </w:p>
    <w:p>
      <w:r>
        <w:rPr>
          <w:color w:val="5A7D3A"/>
          <w:sz w:val="18"/>
        </w:rPr>
        <w:t>https://pubmed.ncbi.nlm.nih.gov/42598799/</w:t>
      </w:r>
    </w:p>
    <w:p>
      <w:pPr>
        <w:pStyle w:val="Heading2"/>
      </w:pPr>
      <w:r>
        <w:t>Proteasom-Biomarker bei Speiseröhrenkrebs: Geschlechtsspezifische Prognose</w:t>
      </w:r>
    </w:p>
    <w:p>
      <w:r>
        <w:rPr>
          <w:i/>
          <w:color w:val="666666"/>
          <w:sz w:val="18"/>
        </w:rPr>
        <w:t>Quaas A et al.  ·  Int J Cancer  ·  15.11.2026  ·  PMID 42581747</w:t>
      </w:r>
    </w:p>
    <w:p>
      <w:r>
        <w:t>Massenspektrometrie-basierte Proteomik an 92 Speiseröhrenadenokar zinomen (47 Frauen, 45 Männer) zur Identifikation von geschlechtsspezifischen Proteinmustern und Prognosesignaturen.</w:t>
      </w:r>
    </w:p>
    <w:p>
      <w:r>
        <w:rPr>
          <w:b/>
        </w:rPr>
        <w:t xml:space="preserve">Ergebnis: </w:t>
      </w:r>
      <w:r>
        <w:t>Schwangerschaftszone-Protein (PZP) erhöht in Frauentumoren, Y-Chromosome-Proteine (DDX3Y, RPS4Y1) in Männertumoren. Erhöhte PZP-Expression assoziiert mit signifikant schlechterer Gesamtüberlebensrate bei Männern (nicht bei Frauen/kombiniert). Geschlecht prägt immune Pathways und prognostische Protein-Landschaften.</w:t>
      </w:r>
    </w:p>
    <w:p>
      <w:r>
        <w:rPr>
          <w:b/>
          <w:sz w:val="19"/>
        </w:rPr>
        <w:t xml:space="preserve">Übertragbarkeit: </w:t>
      </w:r>
      <w:r>
        <w:rPr>
          <w:sz w:val="19"/>
        </w:rPr>
        <w:t>Deutschland - Grundlagenproteomik mit klinischer Outcome-Relevanz, übertragbar wenn in Routinepraxen eingeführt</w:t>
      </w:r>
    </w:p>
    <w:p>
      <w:r>
        <w:rPr>
          <w:color w:val="5A7D3A"/>
          <w:sz w:val="18"/>
        </w:rPr>
        <w:t>https://pubmed.ncbi.nlm.nih.gov/42581747/</w:t>
      </w:r>
    </w:p>
    <w:p>
      <w:pPr>
        <w:pStyle w:val="Heading2"/>
      </w:pPr>
      <w:r>
        <w:t>Kardiovaskuläres Risiko: Frauen sterben häufiger an Herzkrankheiten</w:t>
      </w:r>
    </w:p>
    <w:p>
      <w:r>
        <w:rPr>
          <w:i/>
          <w:color w:val="666666"/>
          <w:sz w:val="18"/>
        </w:rPr>
        <w:t>Mounier-Véhier C  ·  Rev Infirm  ·  01.06.2026  ·  PMID 42309640</w:t>
      </w:r>
    </w:p>
    <w:p>
      <w:r>
        <w:t>Meinungsbeitrag zur kardiovaskulären Mortalität bei Frauen in Frankreich, identifiziert modifizierbare Risikofaktoren und Rolle von Gesundheitsfachpersonen.</w:t>
      </w:r>
    </w:p>
    <w:p>
      <w:r>
        <w:rPr>
          <w:b/>
        </w:rPr>
        <w:t xml:space="preserve">Ergebnis: </w:t>
      </w:r>
      <w:r>
        <w:t>Kardiovaskuläre Erkrankung führende Todesursache bei Frauen in Frankreich. Unhealthy behaviors, inadequate care, lifestyle changes und geschlechtsspezifische Risikofaktoren als negative Determinanten. Gesundheitsfachpersonen spielen Schlüsselrolle bei Prävention und Aufklärung.</w:t>
      </w:r>
    </w:p>
    <w:p>
      <w:r>
        <w:rPr>
          <w:b/>
          <w:sz w:val="19"/>
        </w:rPr>
        <w:t xml:space="preserve">Übertragbarkeit: </w:t>
      </w:r>
      <w:r>
        <w:rPr>
          <w:sz w:val="19"/>
        </w:rPr>
        <w:t>Frankreich - vergleichbares westeuropäisches Sozialversicherungssystem, kardiovaskuläre Geschlechterdisparitäten in Präventionszugang</w:t>
      </w:r>
    </w:p>
    <w:p>
      <w:r>
        <w:rPr>
          <w:color w:val="5A7D3A"/>
          <w:sz w:val="18"/>
        </w:rPr>
        <w:t>https://pubmed.ncbi.nlm.nih.gov/42309640/</w:t>
      </w:r>
    </w:p>
    <w:p>
      <w:pPr>
        <w:pStyle w:val="Heading1"/>
      </w:pPr>
      <w:r>
        <w:t>Aufgenommen am 22.09.2026</w:t>
      </w:r>
    </w:p>
    <w:p>
      <w:pPr>
        <w:pStyle w:val="Heading2"/>
      </w:pPr>
      <w:r>
        <w:t>Metakognitives Training bei Psychose: Geschlechter zeigen gleiche Symptombesserung</w:t>
      </w:r>
    </w:p>
    <w:p>
      <w:r>
        <w:rPr>
          <w:i/>
          <w:color w:val="666666"/>
          <w:sz w:val="18"/>
        </w:rPr>
        <w:t>Lamarca M et al.  ·  PLoS One  ·  21.09.2026  ·  PMID 42766584</w:t>
      </w:r>
    </w:p>
    <w:p>
      <w:r>
        <w:t>Retrospektive harmonisierte Analyse über 573 Patienten mit Schizophrenie-Spektrum-Störung aus internationalem Konsortium (PERMEPSY), die Metakognitives Training für Psychose erhielten, geschlechtsspezifische Effekte auf Symptomtrajektorien untersucht.</w:t>
      </w:r>
    </w:p>
    <w:p>
      <w:r>
        <w:rPr>
          <w:b/>
        </w:rPr>
        <w:t xml:space="preserve">Ergebnis: </w:t>
      </w:r>
      <w:r>
        <w:t>Metakognitives Training reduzierte positive, negative, allgemeine und Gesamtsymptome signifikant in der Gesamtstichprobe. Kein signifikanter Moderationseffekt des biologischen Geschlechts auf Symptomveränderungen (alle Domänen p&gt;0,05), trotz beobachteter Unterschiede in Ausgangssymptomprofilen.</w:t>
      </w:r>
    </w:p>
    <w:p>
      <w:r>
        <w:rPr>
          <w:b/>
          <w:sz w:val="19"/>
        </w:rPr>
        <w:t xml:space="preserve">Übertragbarkeit: </w:t>
      </w:r>
      <w:r>
        <w:rPr>
          <w:sz w:val="19"/>
        </w:rPr>
        <w:t>Internationale Konsortiumsdaten – Vergleichbarkeit auf Deutschland abhängig von Implementierungstreue, keine spezifischen Anpassungen durch Geschlecht nötig.</w:t>
      </w:r>
    </w:p>
    <w:p>
      <w:r>
        <w:rPr>
          <w:color w:val="5A7D3A"/>
          <w:sz w:val="18"/>
        </w:rPr>
        <w:t>https://pubmed.ncbi.nlm.nih.gov/42766584/</w:t>
      </w:r>
    </w:p>
    <w:p>
      <w:pPr>
        <w:pStyle w:val="Heading2"/>
      </w:pPr>
      <w:r>
        <w:t>Clopidogrel reduziert kardiovaskuläre Ereignisse bei Frauen nach Koronarintervention</w:t>
      </w:r>
    </w:p>
    <w:p>
      <w:r>
        <w:rPr>
          <w:i/>
          <w:color w:val="666666"/>
          <w:sz w:val="18"/>
        </w:rPr>
        <w:t>Kwon W et al.  ·  EuroIntervention  ·  21.09.2026  ·  PMID 42765401</w:t>
      </w:r>
    </w:p>
    <w:p>
      <w:r>
        <w:t>Geschlechtsspezifische Analyse des SMART-CHOICE-3-Trials zu antiplateleteren Strategien nach perkutaner Koronarintervention (n=5.506, davon 1.002 Frauen) in Südkorea.</w:t>
      </w:r>
    </w:p>
    <w:p>
      <w:r>
        <w:rPr>
          <w:b/>
        </w:rPr>
        <w:t xml:space="preserve">Ergebnis: </w:t>
      </w:r>
      <w:r>
        <w:t>Clopidogrel senkte primären Endpunkt (Tod, Herzinfarkt, Schlaganfall) bei Frauen signifikant (4,3% vs. 9,4%, aHR 0,45, 95%-KI 0,24–0,85, p=0,014), nicht aber bei Männern (4,4% vs. 6,0%, aHR 0,77, p=0,116). Keine signifikante Interaktion zwischen Geschlecht und Therapie (p=0,288), daher konsistente Richtung in beiden Gruppen.</w:t>
      </w:r>
    </w:p>
    <w:p>
      <w:r>
        <w:rPr>
          <w:b/>
          <w:sz w:val="19"/>
        </w:rPr>
        <w:t xml:space="preserve">Übertragbarkeit: </w:t>
      </w:r>
      <w:r>
        <w:rPr>
          <w:sz w:val="19"/>
        </w:rPr>
        <w:t>Südkorea – Befund zur Arzneimittelwirksamkeit geschlechtsunabhängig übertragbar.</w:t>
      </w:r>
    </w:p>
    <w:p>
      <w:r>
        <w:rPr>
          <w:color w:val="5A7D3A"/>
          <w:sz w:val="18"/>
        </w:rPr>
        <w:t>https://pubmed.ncbi.nlm.nih.gov/42765401/</w:t>
      </w:r>
    </w:p>
    <w:p>
      <w:pPr>
        <w:pStyle w:val="Heading2"/>
      </w:pPr>
      <w:r>
        <w:t>Biomedizin auf männlichem Default-Modell: Geschlechtsgerechtigkeit erfordert strukturelle Reformen</w:t>
      </w:r>
    </w:p>
    <w:p>
      <w:r>
        <w:rPr>
          <w:i/>
          <w:color w:val="666666"/>
          <w:sz w:val="18"/>
        </w:rPr>
        <w:t>D'Archivio M et al.  ·  Ann Ist Super Sanita  ·  Juli 2026  ·  PMID 42742238</w:t>
      </w:r>
    </w:p>
    <w:p>
      <w:r>
        <w:t>Kommentar zur strukturellen Geschlechtsbias in Forschung und Klinik; analysiert, wie male-default-Paradigma zu diagnostischen Verzögerungen, inadäquaten Behandlungen und Ungleichheiten führt und warum geschlechtergetrennte Datenanalyse und Pharmakokinetik-Berücksichtigung systemisch notwendig sind.</w:t>
      </w:r>
    </w:p>
    <w:p>
      <w:r>
        <w:rPr>
          <w:b/>
        </w:rPr>
        <w:t xml:space="preserve">Ergebnis: </w:t>
      </w:r>
      <w:r>
        <w:t>Darlegung von Zellniveau-Unterschieden und unterschiedlichen Krankheitsmanifestatonen zwischen Geschlechtern, höhere Nebenwirkungsrisiken bei Frauen durch Nichtbeachtung geschlechtsspezifischer metabolischer Profile. Forderung: Mandatory Sex-disaggregated Reporting, Integration von Gender-responsive Variablen, Anerkennung, dass Frauen keine kleineren Männer sind.</w:t>
      </w:r>
    </w:p>
    <w:p>
      <w:r>
        <w:rPr>
          <w:b/>
          <w:sz w:val="19"/>
        </w:rPr>
        <w:t xml:space="preserve">Übertragbarkeit: </w:t>
      </w:r>
      <w:r>
        <w:rPr>
          <w:sz w:val="19"/>
        </w:rPr>
        <w:t>Kommentar aus italienischem Referenzzentrum für Geschlechtermedizin – zentrale Erkenntnisse zur Notwendigkeit struktureller Leitlinien-Integration in Deutschland unmittelbar übertragbar.</w:t>
      </w:r>
    </w:p>
    <w:p>
      <w:r>
        <w:rPr>
          <w:color w:val="5A7D3A"/>
          <w:sz w:val="18"/>
        </w:rPr>
        <w:t>https://pubmed.ncbi.nlm.nih.gov/42742238/</w:t>
      </w:r>
    </w:p>
    <w:p>
      <w:pPr>
        <w:pStyle w:val="Heading2"/>
      </w:pPr>
      <w:r>
        <w:t>Sturzbedingte Mortalität bei Zirrhose in USA: Geschlechtergap wächst</w:t>
      </w:r>
    </w:p>
    <w:p>
      <w:r>
        <w:rPr>
          <w:i/>
          <w:color w:val="666666"/>
          <w:sz w:val="18"/>
        </w:rPr>
        <w:t>Kerr LB et al.  ·  Medicine (Baltimore)  ·  11.09.2026  ·  PMID 42736796</w:t>
      </w:r>
    </w:p>
    <w:p>
      <w:r>
        <w:t>Bevölkerungsbasierte retrospektive Analyse von CDC-Routinedaten 1999–2023 zu Todesfällen mit Sturz als primäre Ursache und Zirrhose als Kofaktor (n=10.029 Fälle insgesamt).</w:t>
      </w:r>
    </w:p>
    <w:p>
      <w:r>
        <w:rPr>
          <w:b/>
        </w:rPr>
        <w:t xml:space="preserve">Ergebnis: </w:t>
      </w:r>
      <w:r>
        <w:t>Altersstandardisierte Mortalitätsrate stieg von 1,5 (1999) auf 5,5 pro 1 Mio. (2023). 2023 waren Raten bei Männern doppelt so hoch wie bei Frauen (7,31 vs. 4,02). Anstieg 1999–2017 um 4,65% p.a., dann 2017–2023 um 7,29% p.a. (p=0,004). Alter ≥65 Jahre zeigt stärkere Raten (9,28 vs. 3,40 für 45–64 Jahre).</w:t>
      </w:r>
    </w:p>
    <w:p>
      <w:r>
        <w:rPr>
          <w:b/>
          <w:sz w:val="19"/>
        </w:rPr>
        <w:t xml:space="preserve">Übertragbarkeit: </w:t>
      </w:r>
      <w:r>
        <w:rPr>
          <w:sz w:val="19"/>
        </w:rPr>
        <w:t>USA-Routinedaten – begrenzte Übertragbarkeit, aber Präventionsbedarf (Sturzrisiko, Gebrechlichkeit) international relevant.</w:t>
      </w:r>
    </w:p>
    <w:p>
      <w:r>
        <w:rPr>
          <w:color w:val="5A7D3A"/>
          <w:sz w:val="18"/>
        </w:rPr>
        <w:t>https://pubmed.ncbi.nlm.nih.gov/42736796/</w:t>
      </w:r>
    </w:p>
    <w:p>
      <w:pPr>
        <w:pStyle w:val="Heading2"/>
      </w:pPr>
      <w:r>
        <w:t>Psychologische Kontrolle und Depression: Positivität schützt Mädchen, nicht Jungen</w:t>
      </w:r>
    </w:p>
    <w:p>
      <w:r>
        <w:rPr>
          <w:i/>
          <w:color w:val="666666"/>
          <w:sz w:val="18"/>
        </w:rPr>
        <w:t>Ding L et al.  ·  Res Child Adolesc Psychopathol  ·  08.09.2026  ·  PMID 42711574</w:t>
      </w:r>
    </w:p>
    <w:p>
      <w:r>
        <w:t>Longitudinale Studie über vier Wellen (6-Monats-Intervalle) bei 4.254 chinesischen Frühadoleszenten (55,5% Jungen, Alter 10–13 Jahre) zu reziproken Assoziationen zwischen elterlicher psychologischer Kontrolle und Depressionssymptomen und der mediierenden Rolle von Positivität.</w:t>
      </w:r>
    </w:p>
    <w:p>
      <w:r>
        <w:rPr>
          <w:b/>
        </w:rPr>
        <w:t xml:space="preserve">Ergebnis: </w:t>
      </w:r>
      <w:r>
        <w:t>Random-Intercept-Cross-Lagged-Panel-Modelle zeigten reziproke within-person-Assoziationen in Gesamtstichprobe und beiden Geschlechtern. Positivität mediierte bidirektionale Assoziationen in Gesamtstichprobe und bei Mädchen (partieller Mediationseffekt signifikant), aber nicht bei Jungen (p&gt;0,05). Befund deutet auf geschlechtsspezifische Schutzmechanismen hin.</w:t>
      </w:r>
    </w:p>
    <w:p>
      <w:r>
        <w:rPr>
          <w:b/>
          <w:sz w:val="19"/>
        </w:rPr>
        <w:t xml:space="preserve">Übertragbarkeit: </w:t>
      </w:r>
      <w:r>
        <w:rPr>
          <w:sz w:val="19"/>
        </w:rPr>
        <w:t>China-Studie mit großer Stichprobe; Geschlechtsunterschiede in Resilienzfaktoren können kulturübergreifend relevant sein, jedoch AWMF-Leitlinien zur Eltern-Kind-Prävention müssen geschlechtsspezifische Ansätze prüfen.</w:t>
      </w:r>
    </w:p>
    <w:p>
      <w:r>
        <w:rPr>
          <w:color w:val="5A7D3A"/>
          <w:sz w:val="18"/>
        </w:rPr>
        <w:t>https://pubmed.ncbi.nlm.nih.gov/42711574/</w:t>
      </w:r>
    </w:p>
    <w:p>
      <w:pPr>
        <w:pStyle w:val="Heading2"/>
      </w:pPr>
      <w:r>
        <w:t>LGBTQ+-Patienten mit Parkinson-Syndrom berichten mehr Angststörung und motorische Defizite</w:t>
      </w:r>
    </w:p>
    <w:p>
      <w:r>
        <w:rPr>
          <w:i/>
          <w:color w:val="666666"/>
          <w:sz w:val="18"/>
        </w:rPr>
        <w:t>Flatt J et al.  ·  Front Public Health  ·  24.08.2026  ·  PMID 42707080</w:t>
      </w:r>
    </w:p>
    <w:p>
      <w:r>
        <w:t>Nationale Querschnittstudie (2022–2025, n=254: 89 LGBTQ+, 165 nicht-LGBTQ+) zu Parkinson-Symptomen und Gesundheits-assoziiertem Outcome bei älteren Erwachsenen in USA; Vergleich der Symptombelastung und sozialen Determinanten.</w:t>
      </w:r>
    </w:p>
    <w:p>
      <w:r>
        <w:rPr>
          <w:b/>
        </w:rPr>
        <w:t xml:space="preserve">Ergebnis: </w:t>
      </w:r>
      <w:r>
        <w:t>LGBTQ+-Teilnehmer zeigten höhere Prävalenz von Angststörung (53,9% vs. 33,3%, p=0,002), moderate-schwere Motordefizite (32,2% vs. 19,4%, p=0,024) und Einsamkeit (18,8% vs. 8,5%, p=0,037) als nicht-LGBTQ+-Vergleichsgruppe. Jüngeres Alter, Rasse/Ethnizität und Diskriminierungserfahrung assoziiert mit höheren motorischen Symptomen. Kausalität nicht belegt.</w:t>
      </w:r>
    </w:p>
    <w:p>
      <w:r>
        <w:rPr>
          <w:b/>
          <w:sz w:val="19"/>
        </w:rPr>
        <w:t xml:space="preserve">Übertragbarkeit: </w:t>
      </w:r>
      <w:r>
        <w:rPr>
          <w:sz w:val="19"/>
        </w:rPr>
        <w:t>USA-Konvenienzstichprobe – Diskriminierungserlebnis als Barrier-Mechanismus universell; Zugangsbarrien speziell für LGBTQ+ in deutschem System zu prüfen.</w:t>
      </w:r>
    </w:p>
    <w:p>
      <w:r>
        <w:rPr>
          <w:color w:val="5A7D3A"/>
          <w:sz w:val="18"/>
        </w:rPr>
        <w:t>https://pubmed.ncbi.nlm.nih.gov/42707080/</w:t>
      </w:r>
    </w:p>
    <w:p>
      <w:pPr>
        <w:pStyle w:val="Heading1"/>
      </w:pPr>
      <w:r>
        <w:t>Aufgenommen am 21.09.2026</w:t>
      </w:r>
    </w:p>
    <w:p>
      <w:pPr>
        <w:pStyle w:val="Heading2"/>
      </w:pPr>
      <w:r>
        <w:t>Schlafstörungen nach Schlaganfall: Frauen 1,3× häufiger betroffen</w:t>
      </w:r>
    </w:p>
    <w:p>
      <w:r>
        <w:rPr>
          <w:i/>
          <w:color w:val="666666"/>
          <w:sz w:val="18"/>
        </w:rPr>
        <w:t>Susanty S et al.  ·  F1000Res  ·  15.09.2026  ·  PMID 42763448</w:t>
      </w:r>
    </w:p>
    <w:p>
      <w:r>
        <w:t>Bevölkerungsquerschnitt von 7.147 indonesischen Schlaganfallüberlebenden aus der Basic Health Research 2018 zur Prävalenz von Schlafstörungen nach Geschlecht und assoziierten Faktoren.</w:t>
      </w:r>
    </w:p>
    <w:p>
      <w:r>
        <w:rPr>
          <w:b/>
        </w:rPr>
        <w:t xml:space="preserve">Ergebnis: </w:t>
      </w:r>
      <w:r>
        <w:t>Gesamtprävalenz Schlafstörung 28,4% (95%-KI: 27,4–29,4%). Frauen 34,4% vs. Männer 26,1% (p&lt;0,05). Bei Männern assoziiert: tägliches Rauchen, niedriges Bildungsniveau, Landbewohner, geringe körperliche Aktivität. Bei Frauen assoziiert: Komorbiditäten (Herz-Kreislauf-Erkrankung, Asthma). Unterschiede persistent über Altersgruppen; dyspnoe während akuter Phase nur bei Frauen signifikanter Prädiktor.</w:t>
      </w:r>
    </w:p>
    <w:p>
      <w:r>
        <w:rPr>
          <w:b/>
          <w:sz w:val="19"/>
        </w:rPr>
        <w:t xml:space="preserve">Übertragbarkeit: </w:t>
      </w:r>
      <w:r>
        <w:rPr>
          <w:sz w:val="19"/>
        </w:rPr>
        <w:t>Südostasiatische Bevölkerungsdaten; Geschlechtsunterschiede in Symptomen und Risikofaktoren biologisch oder durch Versorgungszugang unklar.</w:t>
      </w:r>
    </w:p>
    <w:p>
      <w:r>
        <w:rPr>
          <w:color w:val="5A7D3A"/>
          <w:sz w:val="18"/>
        </w:rPr>
        <w:t>https://pubmed.ncbi.nlm.nih.gov/42763448/</w:t>
      </w:r>
    </w:p>
    <w:p>
      <w:pPr>
        <w:pStyle w:val="Heading2"/>
      </w:pPr>
      <w:r>
        <w:t>Unfallbedingte Todesfälle: Stadt-Land-Unterschiede in China 2002–2021</w:t>
      </w:r>
    </w:p>
    <w:p>
      <w:r>
        <w:rPr>
          <w:i/>
          <w:color w:val="666666"/>
          <w:sz w:val="18"/>
        </w:rPr>
        <w:t>Wu Y et al.  ·  BMC Public Health  ·  14.09.2026  ·  PMID 42763397</w:t>
      </w:r>
    </w:p>
    <w:p>
      <w:r>
        <w:t>Analyse von 20 Jahren offizieller chinesischer Gesundheitsdaten zu Verletzungsmortalität nach Urbanisationsgrad, Geschlecht, Alter und Unfallart.</w:t>
      </w:r>
    </w:p>
    <w:p>
      <w:r>
        <w:rPr>
          <w:b/>
        </w:rPr>
        <w:t xml:space="preserve">Ergebnis: </w:t>
      </w:r>
      <w:r>
        <w:t>Altersstandardisierte ländliche Mortalität um Faktor 1,07–2,37 höher als in städtischen Gebieten; Unterschiede bestanden über alle Geschlechter und Altersgruppen. Disparitäten hauptsächlich durch Verkehrsunfälle, Suizide und Stürze getrieben; Gap für Stürze und Vergiftungen verbreiterte sich signifikant. Keine geschlechtsspezifischen Interaktionen berichtet, doch Muster über beide Geschlechter konsistent.</w:t>
      </w:r>
    </w:p>
    <w:p>
      <w:r>
        <w:rPr>
          <w:b/>
          <w:sz w:val="19"/>
        </w:rPr>
        <w:t xml:space="preserve">Übertragbarkeit: </w:t>
      </w:r>
      <w:r>
        <w:rPr>
          <w:sz w:val="19"/>
        </w:rPr>
        <w:t>Bevölkerungsbasierte Routinedaten, aber China-spezifische Risiken (Drinkwater-Unfälle); Übertragbarkeit auf ländliche deutsche Versorgungslücken begrenzt.</w:t>
      </w:r>
    </w:p>
    <w:p>
      <w:r>
        <w:rPr>
          <w:color w:val="5A7D3A"/>
          <w:sz w:val="18"/>
        </w:rPr>
        <w:t>https://pubmed.ncbi.nlm.nih.gov/42763397/</w:t>
      </w:r>
    </w:p>
    <w:p>
      <w:pPr>
        <w:pStyle w:val="Heading2"/>
      </w:pPr>
      <w:r>
        <w:t>Post-COVID-Syndrom: Frauen berichten mehr Müdigkeit, Angst und Arbeitsausfälle</w:t>
      </w:r>
    </w:p>
    <w:p>
      <w:r>
        <w:rPr>
          <w:i/>
          <w:color w:val="666666"/>
          <w:sz w:val="18"/>
        </w:rPr>
        <w:t>Sauer A et al.  ·  BMC Pulm Med  ·  19.09.2026  ·  PMID 42763394</w:t>
      </w:r>
    </w:p>
    <w:p>
      <w:r>
        <w:t>Prospektive Kohortenstudie an 433 Patienten mit anhaltenden COVID-19-Symptomen über 10 Monate an der Hannover Medical School, Deutschland.</w:t>
      </w:r>
    </w:p>
    <w:p>
      <w:r>
        <w:rPr>
          <w:b/>
        </w:rPr>
        <w:t xml:space="preserve">Ergebnis: </w:t>
      </w:r>
      <w:r>
        <w:t>Nach Anpassung für Alter, BMI, COVID-19-Schweregrad und Komorbiditäten zeigten Frauen signifikant höhere Fatigue (β=3,3; p=0,006), Angststörung (GAD-2 β=0,5; p=0,021), niedrigere Lebensqualität (EQ-5D-3L β=−0,6; p=0,004) und dreifach höhere klinisch relevante Arbeitsproduktivitätsbeeinträchtigung (OR=3,0; p=0,020). Bei Männern waren Fieber und Durchfall, bei Frauen BMI und Dyspnoe während akuter COVID-19 mit schlechterer Arbeitsproduktivität assoziiert. Diese Unterschiede persistierten über 10 Monate ohne signifikante Veränderung.</w:t>
      </w:r>
    </w:p>
    <w:p>
      <w:r>
        <w:rPr>
          <w:b/>
          <w:sz w:val="19"/>
        </w:rPr>
        <w:t xml:space="preserve">Übertragbarkeit: </w:t>
      </w:r>
      <w:r>
        <w:rPr>
          <w:sz w:val="19"/>
        </w:rPr>
        <w:t>Deutsche Klinikdaten, prospektives Studiendesign, vollständige Geschlechterstratifikation.</w:t>
      </w:r>
    </w:p>
    <w:p>
      <w:r>
        <w:rPr>
          <w:color w:val="5A7D3A"/>
          <w:sz w:val="18"/>
        </w:rPr>
        <w:t>https://pubmed.ncbi.nlm.nih.gov/42763394/</w:t>
      </w:r>
    </w:p>
    <w:p>
      <w:pPr>
        <w:pStyle w:val="Heading2"/>
      </w:pPr>
      <w:r>
        <w:t>Major Depression: Geschlechtsspezifisches genetisches Risiko mit höherer Polygenie bei Frauen</w:t>
      </w:r>
    </w:p>
    <w:p>
      <w:r>
        <w:rPr>
          <w:i/>
          <w:color w:val="666666"/>
          <w:sz w:val="18"/>
        </w:rPr>
        <w:t>Jordan B  ·  Med Sci (Paris)  ·  14.09.2026  ·  PMID 42735352</w:t>
      </w:r>
    </w:p>
    <w:p>
      <w:r>
        <w:t>Narrative Übersicht über Genomweit-Assoziationsstudien (GWAS) zur genetischen Architektur von Major Depression und Geschlechtsunterschiede in Vererbbarkeit und genetischen Effekten.</w:t>
      </w:r>
    </w:p>
    <w:p>
      <w:r>
        <w:rPr>
          <w:b/>
        </w:rPr>
        <w:t xml:space="preserve">Ergebnis: </w:t>
      </w:r>
      <w:r>
        <w:t>Major Depression zeigt erhebliche Vererbbarkeit mit hochpolygener genetischer Landschaft und signifikanten Geschlechtsdifferenzen: höhere und polygener verteilte genetische Einflüsse bei Frauen im Vergleich zu Männern; Mechanismen jedoch noch unklar.</w:t>
      </w:r>
    </w:p>
    <w:p>
      <w:r>
        <w:rPr>
          <w:b/>
          <w:sz w:val="19"/>
        </w:rPr>
        <w:t xml:space="preserve">Übertragbarkeit: </w:t>
      </w:r>
      <w:r>
        <w:rPr>
          <w:sz w:val="19"/>
        </w:rPr>
        <w:t>Grundlagenforschung; zeigt biologische Komponente, aber ohne Versorgungsbezug oder therapeutische Implikationen für deutsches System.</w:t>
      </w:r>
    </w:p>
    <w:p>
      <w:r>
        <w:rPr>
          <w:color w:val="5A7D3A"/>
          <w:sz w:val="18"/>
        </w:rPr>
        <w:t>https://pubmed.ncbi.nlm.nih.gov/42735352/</w:t>
      </w:r>
    </w:p>
    <w:p>
      <w:pPr>
        <w:pStyle w:val="Heading2"/>
      </w:pPr>
      <w:r>
        <w:t>Krebsversorgung für LGBTQIA+-Patienten: Lücken in Wissen, Screening und Dokumentation</w:t>
      </w:r>
    </w:p>
    <w:p>
      <w:r>
        <w:rPr>
          <w:i/>
          <w:color w:val="666666"/>
          <w:sz w:val="18"/>
        </w:rPr>
        <w:t>Alqaisi O et al.  ·  Cancer Med  ·  Sept. 2026  ·  PMID 42728825</w:t>
      </w:r>
    </w:p>
    <w:p>
      <w:r>
        <w:t>Systematische Scoping Review von 20 Studien (2015–2025) zu Barrieren und Förderern für inklusive Krebsversorgung von sexuellen und geschlechtlichen Minderheiten in mehreren Ländern.</w:t>
      </w:r>
    </w:p>
    <w:p>
      <w:r>
        <w:rPr>
          <w:b/>
        </w:rPr>
        <w:t xml:space="preserve">Ergebnis: </w:t>
      </w:r>
      <w:r>
        <w:t>Kritische Wissenslücken bei Fachkräften: nur 5% beantworteten alle LGBTQIA+-Fragen korrekt, 40% berichteten Schwierigkeiten mit sexueller Gesundheit, 80% interessiert an Training. 65% der LGBTQIA+-Personen unsicher über Screening-Bedarf; 76% fehlte mind. eine HPV-Impfdosis. Schlüsselförderer: inklusive Kommunikation, routinemäßige Dokumentation von Geschlechtsidentität/sexueller Orientierung, sichtbare Sicherheitssignale.</w:t>
      </w:r>
    </w:p>
    <w:p>
      <w:r>
        <w:rPr>
          <w:b/>
          <w:sz w:val="19"/>
        </w:rPr>
        <w:t xml:space="preserve">Übertragbarkeit: </w:t>
      </w:r>
      <w:r>
        <w:rPr>
          <w:sz w:val="19"/>
        </w:rPr>
        <w:t>Multikontinentale Evidenz; konkrete Implementierungsbarrieren für deutsches System (elektronische Patientenakte, Schulung) identifizierbar.</w:t>
      </w:r>
    </w:p>
    <w:p>
      <w:r>
        <w:rPr>
          <w:color w:val="5A7D3A"/>
          <w:sz w:val="18"/>
        </w:rPr>
        <w:t>https://pubmed.ncbi.nlm.nih.gov/42728825/</w:t>
      </w:r>
    </w:p>
    <w:p>
      <w:pPr>
        <w:pStyle w:val="Heading2"/>
      </w:pPr>
      <w:r>
        <w:t>Geschlechtsangleichende Hormontherapie bei autistischen Erwachsenen verbessert berufliche Identität</w:t>
      </w:r>
    </w:p>
    <w:p>
      <w:r>
        <w:rPr>
          <w:i/>
          <w:color w:val="666666"/>
          <w:sz w:val="18"/>
        </w:rPr>
        <w:t>Miller SL et al.  ·  Aust Occup Ther J  ·  Okt. 2026  ·  PMID 42711810</w:t>
      </w:r>
    </w:p>
    <w:p>
      <w:r>
        <w:t>Qualitative Studie mit 6 autistischen transsexuellen/geschlechtsdiversen Erwachsenen unter Hormontherapie in australischer Geschlechtsklinik; Interviews und sensorisches Profil.</w:t>
      </w:r>
    </w:p>
    <w:p>
      <w:r>
        <w:rPr>
          <w:b/>
        </w:rPr>
        <w:t xml:space="preserve">Ergebnis: </w:t>
      </w:r>
      <w:r>
        <w:t>Autistische transsexuelle Erwachsene berichteten verbesserte Lebensqualität, psychische Gesundheit und berufliche Identität durch Hormontherapie. Einzigartige Herausforderungen durch Kombination Autismus+Geschlechtsdiversität bei Therapieadhärenz (sensorische und exekutive Dysfunktion); hormonale Veränderungen erhöhten Engagement in geschlechtsspezifischen Rollen/Berufen. Ergotherapie könnte Outcomes optimieren.</w:t>
      </w:r>
    </w:p>
    <w:p>
      <w:r>
        <w:rPr>
          <w:b/>
          <w:sz w:val="19"/>
        </w:rPr>
        <w:t xml:space="preserve">Übertragbarkeit: </w:t>
      </w:r>
      <w:r>
        <w:rPr>
          <w:sz w:val="19"/>
        </w:rPr>
        <w:t>Australische Spezialklinik, qualitatives Design; übertragbar auf deutsche Geschlechtskliniken (Expertise vorhanden), aber kleine Fallzahl und begrenzte Generalisierbarkeit.</w:t>
      </w:r>
    </w:p>
    <w:p>
      <w:r>
        <w:rPr>
          <w:color w:val="5A7D3A"/>
          <w:sz w:val="18"/>
        </w:rPr>
        <w:t>https://pubmed.ncbi.nlm.nih.gov/42711810/</w:t>
      </w:r>
    </w:p>
    <w:p>
      <w:pPr>
        <w:pStyle w:val="Heading1"/>
      </w:pPr>
      <w:r>
        <w:t>Aufgenommen am 20.09.2026</w:t>
      </w:r>
    </w:p>
    <w:p>
      <w:pPr>
        <w:pStyle w:val="Heading2"/>
      </w:pPr>
      <w:r>
        <w:t>Aortenchirurgie: Frauen berichten über schlechtere Lebensqualität in sozialen Beziehungen</w:t>
      </w:r>
    </w:p>
    <w:p>
      <w:r>
        <w:rPr>
          <w:i/>
          <w:color w:val="666666"/>
          <w:sz w:val="18"/>
        </w:rPr>
        <w:t>Kubisa AM et al.  ·  Vasc Health Risk Manag  ·  14.09.2026  ·  PMID 42761883</w:t>
      </w:r>
    </w:p>
    <w:p>
      <w:r>
        <w:t>Prospektive Kohortenstudie mit 150 Patienten (113 Männer, 37 Frauen) zur Erfassung von Lebensqualität, Krankheitsakzeptanz und psychischer Belastung 2 Jahre nach Aortenchirurgie mittels standardisierter Fragebögen.</w:t>
      </w:r>
    </w:p>
    <w:p>
      <w:r>
        <w:rPr>
          <w:b/>
        </w:rPr>
        <w:t xml:space="preserve">Ergebnis: </w:t>
      </w:r>
      <w:r>
        <w:t>Frauen zeigten unmittelbar nach der Operation niedrigere WHOQOL-Werte in allen vier Domänen (Psychologisch: 58,4 vs. 68,1; p=0,001; Soziale Beziehungen: 59,0 vs. 69,6; p&lt;0,001). Nach Adjustierung blieb das Defizit in der Domäne soziale Beziehungen persistent (adjustierte Differenz -6,86; 95%-KI -12,27 bis -1,44; p=0,013). Diese Beobachtung ist hypothesengenerierend und zeigt geschlechtsspezifische Unterschiede in psychosozialen Outcomes.</w:t>
      </w:r>
    </w:p>
    <w:p>
      <w:r>
        <w:rPr>
          <w:b/>
          <w:sz w:val="19"/>
        </w:rPr>
        <w:t xml:space="preserve">Übertragbarkeit: </w:t>
      </w:r>
      <w:r>
        <w:rPr>
          <w:sz w:val="19"/>
        </w:rPr>
        <w:t>Polen, vergleichbare Dokumentation wie deutsche Kliniken; Ursache nicht bestimmt.</w:t>
      </w:r>
    </w:p>
    <w:p>
      <w:r>
        <w:rPr>
          <w:color w:val="5A7D3A"/>
          <w:sz w:val="18"/>
        </w:rPr>
        <w:t>https://pubmed.ncbi.nlm.nih.gov/42761883/</w:t>
      </w:r>
    </w:p>
    <w:p>
      <w:pPr>
        <w:pStyle w:val="Heading2"/>
      </w:pPr>
      <w:r>
        <w:t>Schilddrüsenfunktion und Diabetes: Männer unter 65 Jahren stärker gefährdet</w:t>
      </w:r>
    </w:p>
    <w:p>
      <w:r>
        <w:rPr>
          <w:i/>
          <w:color w:val="666666"/>
          <w:sz w:val="18"/>
        </w:rPr>
        <w:t>Choi JY et al.  ·  Medicine (Baltimore)  ·  18.09.2026  ·  PMID 42760714</w:t>
      </w:r>
    </w:p>
    <w:p>
      <w:r>
        <w:t>Querschnittstudie mit 4910 erwachsenen Koreanern zur Prüfung der Assoziation zwischen TSH-, freies T4- und TPOAb-Spiegeln und Diabetesrisiko, stratifiziert nach Geschlecht und Alter.</w:t>
      </w:r>
    </w:p>
    <w:p>
      <w:r>
        <w:rPr>
          <w:b/>
        </w:rPr>
        <w:t xml:space="preserve">Ergebnis: </w:t>
      </w:r>
      <w:r>
        <w:t>Hohe TSH-Werte waren signifikant mit erhöhtem Diabetesrisiko assoziiert (OR=2,82; 95%-KI 1,26–6,32), besonders bei Männern unter 65 Jahren (OR=5,10; 95%-KI 1,65–15,77). Niedrige freies-T4-Werte zeigten erhöhtes Risiko (OR=2,08; 95%-KI 1,16–3,75), ebenfalls vornehmlich bei jüngeren Männern. Diese Unterschiede deuten auf biologische Geschlechtsvariabilität hin.</w:t>
      </w:r>
    </w:p>
    <w:p>
      <w:r>
        <w:rPr>
          <w:b/>
          <w:sz w:val="19"/>
        </w:rPr>
        <w:t xml:space="preserve">Übertragbarkeit: </w:t>
      </w:r>
      <w:r>
        <w:rPr>
          <w:sz w:val="19"/>
        </w:rPr>
        <w:t>Südkorea, nationale Gesundheitsdaten; biologische Unterschiede, nicht Zugangsweg relevant.</w:t>
      </w:r>
    </w:p>
    <w:p>
      <w:r>
        <w:rPr>
          <w:color w:val="5A7D3A"/>
          <w:sz w:val="18"/>
        </w:rPr>
        <w:t>https://pubmed.ncbi.nlm.nih.gov/42760714/</w:t>
      </w:r>
    </w:p>
    <w:p>
      <w:pPr>
        <w:pStyle w:val="Heading2"/>
      </w:pPr>
      <w:r>
        <w:t>Brustkrebs: Schwarze Frauen haben doppelt so hohe Raten für triple-negative Subtypen</w:t>
      </w:r>
    </w:p>
    <w:p>
      <w:r>
        <w:rPr>
          <w:i/>
          <w:color w:val="666666"/>
          <w:sz w:val="18"/>
        </w:rPr>
        <w:t>Barsha RAA et al.  ·  Cancer Med  ·  Sept. 2026  ·  PMID 42760641</w:t>
      </w:r>
    </w:p>
    <w:p>
      <w:r>
        <w:t>Bevölkerungsbasierte Analyse von 21.130 Brustkrebspatientinnen (64,4% Weiße, 35,6% Schwarze Frauen) zur Untersuchung von Inzidenztrends nach Rasse, Stadium und molekularem Subtyp im Zeitraum 2010–2019 in Mississippi.</w:t>
      </w:r>
    </w:p>
    <w:p>
      <w:r>
        <w:rPr>
          <w:b/>
        </w:rPr>
        <w:t xml:space="preserve">Ergebnis: </w:t>
      </w:r>
      <w:r>
        <w:t>Schwarze Frauen hatten höhere Gesamtinzidenzraten als Weiße Frauen (178,0 vs. 159,1 pro 100.000). Schwarze Frauen zeigten höhere Inzidenzraten für HER2-überexprimierende Krebserkrankungen (IRR=1,55; 95%-KI 1,15–2,10) und triple-negative Krebserkrankungen (IRR=2,35; 95%-KI 1,74–3,17). Unterschiede deuten auf biologische Heterogenität und/oder Zugangsunterschiede hin.</w:t>
      </w:r>
    </w:p>
    <w:p>
      <w:r>
        <w:rPr>
          <w:b/>
          <w:sz w:val="19"/>
        </w:rPr>
        <w:t xml:space="preserve">Übertragbarkeit: </w:t>
      </w:r>
      <w:r>
        <w:rPr>
          <w:sz w:val="19"/>
        </w:rPr>
        <w:t>USA-Daten; Rasse/Ethnizität und biologische Subtypen, aber US-spezifische Screening-Praktiken.</w:t>
      </w:r>
    </w:p>
    <w:p>
      <w:r>
        <w:rPr>
          <w:color w:val="5A7D3A"/>
          <w:sz w:val="18"/>
        </w:rPr>
        <w:t>https://pubmed.ncbi.nlm.nih.gov/42760641/</w:t>
      </w:r>
    </w:p>
    <w:p>
      <w:pPr>
        <w:pStyle w:val="Heading2"/>
      </w:pPr>
      <w:r>
        <w:t>Schlaganfall mit Herzinsuffizienz: Sterblichkeit steigt, Männer stärker betroffen</w:t>
      </w:r>
    </w:p>
    <w:p>
      <w:r>
        <w:rPr>
          <w:i/>
          <w:color w:val="666666"/>
          <w:sz w:val="18"/>
        </w:rPr>
        <w:t>Bsharat AM et al.  ·  Brain Behav  ·  Sept. 2026  ·  PMID 42755241</w:t>
      </w:r>
    </w:p>
    <w:p>
      <w:r>
        <w:t>Analyse von CDC-Todesursachendaten (1999–2023) für Erwachsene ≥15 Jahre mit Schlaganfall als Grundursache und Herzinsuffizienz als Nebendiagnose; Joinpoint-Regression zur Ermittlung von Trends und Disparitäten.</w:t>
      </w:r>
    </w:p>
    <w:p>
      <w:r>
        <w:rPr>
          <w:b/>
        </w:rPr>
        <w:t xml:space="preserve">Ergebnis: </w:t>
      </w:r>
      <w:r>
        <w:t>Die altersadjustierte Sterblichkeitsrate (AAMR) sank von 4,09 (1999) auf 2,74 (2023), stieg dann aber 2016–2023 um 5,38% jährlich. Das Männer-zu-Frauen-Verhältnis stieg signifikant 2009–2023. Schwarze Personen hatten die höchsten AAMRs. Ländliche Gebiete zeigten höhere Raten. Diese Unterschiede entstehen durch Zugangs- und Versorgungsfaktoren, Biologie nicht primär.</w:t>
      </w:r>
    </w:p>
    <w:p>
      <w:r>
        <w:rPr>
          <w:b/>
          <w:sz w:val="19"/>
        </w:rPr>
        <w:t xml:space="preserve">Übertragbarkeit: </w:t>
      </w:r>
      <w:r>
        <w:rPr>
          <w:sz w:val="19"/>
        </w:rPr>
        <w:t>USA, CDC-Daten; Geschlechts- und Rassen-Disparitäten dokumentiert, aber US-Zugangsmuster.</w:t>
      </w:r>
    </w:p>
    <w:p>
      <w:r>
        <w:rPr>
          <w:color w:val="5A7D3A"/>
          <w:sz w:val="18"/>
        </w:rPr>
        <w:t>https://pubmed.ncbi.nlm.nih.gov/42755241/</w:t>
      </w:r>
    </w:p>
    <w:p>
      <w:pPr>
        <w:pStyle w:val="Heading2"/>
      </w:pPr>
      <w:r>
        <w:t>Multiples Myelom: Sterblichkeit sank, aber rassische Disparität verdoppelt sich</w:t>
      </w:r>
    </w:p>
    <w:p>
      <w:r>
        <w:rPr>
          <w:i/>
          <w:color w:val="666666"/>
          <w:sz w:val="18"/>
        </w:rPr>
        <w:t>Ali ME et al.  ·  Cancer Causes Control  ·  18.09.2026  ·  PMID 42754761</w:t>
      </w:r>
    </w:p>
    <w:p>
      <w:r>
        <w:t>Analyse nationaler US-Sterblichkeitstrends (1999–2024) für multiples Myelom nach Geschlecht, Alter, Rasse/Ethnizität, Region und Urbanisierung; ARIMA-Modelle für Projektion bis 2034.</w:t>
      </w:r>
    </w:p>
    <w:p>
      <w:r>
        <w:rPr>
          <w:b/>
        </w:rPr>
        <w:t xml:space="preserve">Ergebnis: </w:t>
      </w:r>
      <w:r>
        <w:t>Die altersadjustierte AAMR sank von 37,6 auf 25,1 pro 1 Mio. (AAPC -1,8%; 95%-KI -2,1 bis -1,5; p&lt;0,001), beschleunigt ab 2012 (APC -3,2%). Männer hatten durchgehend höhere Raten als Frauen (32,4 vs. 19,8 pro 1 Mio. 2024). Schwarze oder afrikanisch-amerikanische Personen zeigten 2024 mehr als doppelte Mortalitätsraten gegenüber Weißen (48,0 vs. 23,5 pro 1 Mio.). Disparitäten sind für 2034 persistierend prognostiziert.</w:t>
      </w:r>
    </w:p>
    <w:p>
      <w:r>
        <w:rPr>
          <w:b/>
          <w:sz w:val="19"/>
        </w:rPr>
        <w:t xml:space="preserve">Übertragbarkeit: </w:t>
      </w:r>
      <w:r>
        <w:rPr>
          <w:sz w:val="19"/>
        </w:rPr>
        <w:t>USA; Zugangs- und Versorgungsungleichheit, nicht Biologie; US-spezifische Therapieinnovationen.</w:t>
      </w:r>
    </w:p>
    <w:p>
      <w:r>
        <w:rPr>
          <w:color w:val="5A7D3A"/>
          <w:sz w:val="18"/>
        </w:rPr>
        <w:t>https://pubmed.ncbi.nlm.nih.gov/42754761/</w:t>
      </w:r>
    </w:p>
    <w:p>
      <w:pPr>
        <w:pStyle w:val="Heading2"/>
      </w:pPr>
      <w:r>
        <w:t>LGBTQ+-Unterricht in Pflegefakultäten: Engagement schlägt Expertise</w:t>
      </w:r>
    </w:p>
    <w:p>
      <w:r>
        <w:rPr>
          <w:i/>
          <w:color w:val="666666"/>
          <w:sz w:val="18"/>
        </w:rPr>
        <w:t>Nye CM et al.  ·  J Prof Nurs  ·  30.05.2026  ·  PMID 42744418</w:t>
      </w:r>
    </w:p>
    <w:p>
      <w:r>
        <w:t>Erklärende Mischstudie mit Umfrage (Phase I, n=196 Dozenten) und Interviews (Phase II, n=19) zur Erfassung von Erfahrungen von Pflegedozenten mit LGBTQ+-Inklusion in der Lehre an US-amerikanischen Schulen.</w:t>
      </w:r>
    </w:p>
    <w:p>
      <w:r>
        <w:rPr>
          <w:b/>
        </w:rPr>
        <w:t xml:space="preserve">Ergebnis: </w:t>
      </w:r>
      <w:r>
        <w:t>Selbstvertrauen mit LGBTQ+-Inklusion und Engagement zur Aufnahme von LGBTQ+-Inhalten hatten signifikante Auswirkungen auf die Aufnahme von Gesundheitsinhalten für LGBTQ+ in den Lehrplan (p nicht angegeben, qualitative Kernaussage: Commitment und interpersonale/institutionelle Faktoren wichtiger als Expertise). Strukturelle Barrieren wie fehlende institutionelle Unterstützung waren identifizierbar, aber überwindbar.</w:t>
      </w:r>
    </w:p>
    <w:p>
      <w:r>
        <w:rPr>
          <w:b/>
          <w:sz w:val="19"/>
        </w:rPr>
        <w:t xml:space="preserve">Übertragbarkeit: </w:t>
      </w:r>
      <w:r>
        <w:rPr>
          <w:sz w:val="19"/>
        </w:rPr>
        <w:t>USA; unterrichtsbasierte Intervention mit Vorkehrungspotential, aber US-Lehrkontext.</w:t>
      </w:r>
    </w:p>
    <w:p>
      <w:r>
        <w:rPr>
          <w:color w:val="5A7D3A"/>
          <w:sz w:val="18"/>
        </w:rPr>
        <w:t>https://pubmed.ncbi.nlm.nih.gov/42744418/</w:t>
      </w:r>
    </w:p>
    <w:p>
      <w:pPr>
        <w:pStyle w:val="Heading1"/>
      </w:pPr>
      <w:r>
        <w:t>Aufgenommen am 19.09.2026</w:t>
      </w:r>
    </w:p>
    <w:p>
      <w:pPr>
        <w:pStyle w:val="Heading2"/>
      </w:pPr>
      <w:r>
        <w:t>Mammografie: 45-Minuten-Training für Radiologen erhöht Wissen über trans Patienten signifikant</w:t>
      </w:r>
    </w:p>
    <w:p>
      <w:r>
        <w:rPr>
          <w:i/>
          <w:color w:val="666666"/>
          <w:sz w:val="18"/>
        </w:rPr>
        <w:t>Martinez A et al.  ·  Cancer Causes Control  ·  18.09.2026  ·  PMID 42758345</w:t>
      </w:r>
    </w:p>
    <w:p>
      <w:r>
        <w:t>Pilotstudie zur Evaluation einer Schulungsintervention für Brustbildgebungsfachleute (klinische Unterstützungsfachleute, Technologen, Radiologen) zu LGBTQIA+-inklusive Mammografie-Screening-Praktiken.</w:t>
      </w:r>
    </w:p>
    <w:p>
      <w:r>
        <w:rPr>
          <w:b/>
        </w:rPr>
        <w:t xml:space="preserve">Ergebnis: </w:t>
      </w:r>
      <w:r>
        <w:t>Die 45-minütige Schulung mit Storytelling führte zu signifikant erhöhtem Selbstberichtswissen über LGBTQIA+-Terminologie (großer Effekt). Teilnehmende beantworteten mehr direkt getestete Wissensfragen korrekt (kleiner Effekt). Einstellungen zu Geschlechtsvielfalt zeigten Trend zu akzeptierender Haltung (mittlerer Effekt), erreichten aber keine statistische Signifikanz.</w:t>
      </w:r>
    </w:p>
    <w:p>
      <w:r>
        <w:rPr>
          <w:b/>
          <w:sz w:val="19"/>
        </w:rPr>
        <w:t xml:space="preserve">Übertragbarkeit: </w:t>
      </w:r>
      <w:r>
        <w:rPr>
          <w:sz w:val="19"/>
        </w:rPr>
        <w:t>USA, aber Schulungsprinzipien unabhängig von Finanzierungssystem übertragbar</w:t>
      </w:r>
    </w:p>
    <w:p>
      <w:r>
        <w:rPr>
          <w:color w:val="5A7D3A"/>
          <w:sz w:val="18"/>
        </w:rPr>
        <w:t>https://pubmed.ncbi.nlm.nih.gov/42758345/</w:t>
      </w:r>
    </w:p>
    <w:p>
      <w:pPr>
        <w:pStyle w:val="Heading2"/>
      </w:pPr>
      <w:r>
        <w:t>Rettungsdienst: LGBTQ-Kompetenz hängt nicht von Geschlecht ab, sondern von Schulung</w:t>
      </w:r>
    </w:p>
    <w:p>
      <w:r>
        <w:rPr>
          <w:i/>
          <w:color w:val="666666"/>
          <w:sz w:val="18"/>
        </w:rPr>
        <w:t>Czapla M et al.  ·  Front Public Health  ·  03.09.2026  ·  PMID 42756002</w:t>
      </w:r>
    </w:p>
    <w:p>
      <w:r>
        <w:t>Querschnittstudie unter 172 polnischen Rettungsassistenten zur Identifikation von Faktoren, die gay-affirmativen Überzeugungen und Verhalten vorhersagen.</w:t>
      </w:r>
    </w:p>
    <w:p>
      <w:r>
        <w:rPr>
          <w:b/>
        </w:rPr>
        <w:t xml:space="preserve">Ergebnis: </w:t>
      </w:r>
      <w:r>
        <w:t>Höhere LGBTQ-Klinische Kompetenz war unabhängig mit affirmativen Überzeugungen (β = 3,85, 95%-KI 1,21–6,50, p = 0,005) und Verhalten (β = 7,29, 95%-KI 4,62–9,96, p &lt; 0,001) assoziiert. Rechtsgerichtete politische Orientierung war mit niedrigeren affirmativen Überzeugungen (β = −12,26, p &lt; 0,001) und Verhalten (β = −6,74, p = 0,013) assoziiert. LGBT-Klinische Kompetenz war der konsistenteste Prädiktor.</w:t>
      </w:r>
    </w:p>
    <w:p>
      <w:r>
        <w:rPr>
          <w:b/>
          <w:sz w:val="19"/>
        </w:rPr>
        <w:t xml:space="preserve">Übertragbarkeit: </w:t>
      </w:r>
      <w:r>
        <w:rPr>
          <w:sz w:val="19"/>
        </w:rPr>
        <w:t>Polen, europäisches Gesundheitssystem, nachweisbar Schulungseffekt</w:t>
      </w:r>
    </w:p>
    <w:p>
      <w:r>
        <w:rPr>
          <w:color w:val="5A7D3A"/>
          <w:sz w:val="18"/>
        </w:rPr>
        <w:t>https://pubmed.ncbi.nlm.nih.gov/42756002/</w:t>
      </w:r>
    </w:p>
    <w:p>
      <w:pPr>
        <w:pStyle w:val="Heading2"/>
      </w:pPr>
      <w:r>
        <w:t>Bewusstseinsstörungen: Testosteron zeigt Assoziationen mit besseren Ergebnissen bei Männern, nicht bei Frauen</w:t>
      </w:r>
    </w:p>
    <w:p>
      <w:r>
        <w:rPr>
          <w:i/>
          <w:color w:val="666666"/>
          <w:sz w:val="18"/>
        </w:rPr>
        <w:t>Xia D et al.  ·  Front Neurol  ·  03.09.2026  ·  PMID 42755585</w:t>
      </w:r>
    </w:p>
    <w:p>
      <w:r>
        <w:t>Retrospektive Geschlechts-stratifizierte Studie zu Serum-Sexualhormonen als potenzielle prognostische Biomarker bei 119 Patienten mit prolongiertem Bewusstsein und Bewusstseinsbeeinträchtigung (pDoC).</w:t>
      </w:r>
    </w:p>
    <w:p>
      <w:r>
        <w:rPr>
          <w:b/>
        </w:rPr>
        <w:t xml:space="preserve">Ergebnis: </w:t>
      </w:r>
      <w:r>
        <w:t>Bei Männern zeigte die Gruppe mit gutem Outcome höhere Testosteronspiegel (p = 0,02). Nach logistischer Regression adjustiert für Alter, Krankheitsdauer und Ätiologie war log-transformiertes Testosteron mit günstigen Outcomes assoziiert (OR 2,97, 95%-KI 1,29–7,70, p = 0,02), überstand aber Bonferroni-Korrektur nicht (p_bonf = 0,10). Bei Frauen zeigten Sexualhormone keine klare prognostische Bedeutung. ROC-Analyse zeigte nur bescheidene Vorhersagekraft (AUC 0,656).</w:t>
      </w:r>
    </w:p>
    <w:p>
      <w:r>
        <w:rPr>
          <w:b/>
          <w:sz w:val="19"/>
        </w:rPr>
        <w:t xml:space="preserve">Übertragbarkeit: </w:t>
      </w:r>
      <w:r>
        <w:rPr>
          <w:sz w:val="19"/>
        </w:rPr>
        <w:t>China, biologische Geschlechtsunterschiede, aber geringe klinische Prädiktivität</w:t>
      </w:r>
    </w:p>
    <w:p>
      <w:r>
        <w:rPr>
          <w:color w:val="5A7D3A"/>
          <w:sz w:val="18"/>
        </w:rPr>
        <w:t>https://pubmed.ncbi.nlm.nih.gov/42755585/</w:t>
      </w:r>
    </w:p>
    <w:p>
      <w:pPr>
        <w:pStyle w:val="Heading2"/>
      </w:pPr>
      <w:r>
        <w:t>Blutdruck und Schlaf: Geschlechtsunterschiede in Schlafstörungen und Blutdruckrisiko erklären teilweise höheres Hypertonie-Risiko</w:t>
      </w:r>
    </w:p>
    <w:p>
      <w:r>
        <w:rPr>
          <w:i/>
          <w:color w:val="666666"/>
          <w:sz w:val="18"/>
        </w:rPr>
        <w:t>Matos do Amaral T et al.  ·  Curr Hypertens Rep  ·  16.09.2026  ·  PMID 42744939</w:t>
      </w:r>
    </w:p>
    <w:p>
      <w:r>
        <w:t>Systematischer Review der Assoziationen zwischen Schlaf und Bluthochdruck mit Betonung von Geschlechtsunterschieden in der Blutdruckregulation.</w:t>
      </w:r>
    </w:p>
    <w:p>
      <w:r>
        <w:rPr>
          <w:b/>
        </w:rPr>
        <w:t xml:space="preserve">Ergebnis: </w:t>
      </w:r>
      <w:r>
        <w:t>Schlaf ist ein modifizierbarer Risikofaktor für Hypertonie. Schlafqualität, -dauer und Schlafstörungen (Insomnie, Schlafapnoe) sind mit erhöhtem Blutdruck assoziiert, mit geschlechtsspezifischen Unterschieden. Sex-spezifische hormonelle Einflüsse und autonome Dysfunktion tragen zu Unterschieden in den Assoziationen zwischen Schlafstörungen und Hypertonie-Risiko bei Männern und Frauen bei. Schlaf sollte als klinisch relevantes Ziel in die kardiovaskuläre Risikoeinschätzung einbezogen werden.</w:t>
      </w:r>
    </w:p>
    <w:p>
      <w:r>
        <w:rPr>
          <w:b/>
          <w:sz w:val="19"/>
        </w:rPr>
        <w:t xml:space="preserve">Übertragbarkeit: </w:t>
      </w:r>
      <w:r>
        <w:rPr>
          <w:sz w:val="19"/>
        </w:rPr>
        <w:t>Überwiegend USA-Studien, aber Physiologie geschlechtsunabhängig</w:t>
      </w:r>
    </w:p>
    <w:p>
      <w:r>
        <w:rPr>
          <w:color w:val="5A7D3A"/>
          <w:sz w:val="18"/>
        </w:rPr>
        <w:t>https://pubmed.ncbi.nlm.nih.gov/42744939/</w:t>
      </w:r>
    </w:p>
    <w:p>
      <w:pPr>
        <w:pStyle w:val="Heading2"/>
      </w:pPr>
      <w:r>
        <w:t>Blasenkrebs: Frauen zeigen unter Enfortumab Vedotin bessere progressionsfreie Überlebensraten</w:t>
      </w:r>
    </w:p>
    <w:p>
      <w:r>
        <w:rPr>
          <w:i/>
          <w:color w:val="666666"/>
          <w:sz w:val="18"/>
        </w:rPr>
        <w:t>Schneidewind L et al.  ·  Clin Genitourin Cancer  ·  30.06.2026  ·  PMID 42502035</w:t>
      </w:r>
    </w:p>
    <w:p>
      <w:r>
        <w:t>Systematische Übersicht mit Metaanalyse von 17 Studien zu Geschlechtsunterschieden im Gesamtüberleben, progressionsfreien Überleben und krankheitsfreiem Überleben nach Enfortumab-Vedotin-Therapie bei fortgeschrittenem Urothelkarzinom.</w:t>
      </w:r>
    </w:p>
    <w:p>
      <w:r>
        <w:rPr>
          <w:b/>
        </w:rPr>
        <w:t xml:space="preserve">Ergebnis: </w:t>
      </w:r>
      <w:r>
        <w:t>Frauen zeigten gegenüber Männern bessere progressionsfreie Überlebensraten (HR 0,67, 95%-KI 0,57–0,78, p &lt; 0,001), wobei Publikationsbias identifiziert wurde. Für Gesamtüberleben ergab sich kein signifikanter Unterschied (HR 0,88, 95%-KI 0,73–1,06, p = 0,17). Die Autoren betonen, dass explizite geschlechtsspezifische Analysen von Hormonal- und genetischen Aspekten nötig sind.</w:t>
      </w:r>
    </w:p>
    <w:p>
      <w:r>
        <w:rPr>
          <w:b/>
          <w:sz w:val="19"/>
        </w:rPr>
        <w:t xml:space="preserve">Übertragbarkeit: </w:t>
      </w:r>
      <w:r>
        <w:rPr>
          <w:sz w:val="19"/>
        </w:rPr>
        <w:t>Deutschland, vergleichbare Dokumentationspflichten in Krebsregistern</w:t>
      </w:r>
    </w:p>
    <w:p>
      <w:r>
        <w:rPr>
          <w:color w:val="5A7D3A"/>
          <w:sz w:val="18"/>
        </w:rPr>
        <w:t>https://pubmed.ncbi.nlm.nih.gov/42502035/</w:t>
      </w:r>
    </w:p>
    <w:p>
      <w:pPr>
        <w:pStyle w:val="Heading2"/>
      </w:pPr>
      <w:r>
        <w:t>Vorsorge vor Schwangerschaft: Frauen tragen überproportional die Last, Männer fehlen völlig</w:t>
      </w:r>
    </w:p>
    <w:p>
      <w:r>
        <w:rPr>
          <w:i/>
          <w:color w:val="666666"/>
          <w:sz w:val="18"/>
        </w:rPr>
        <w:t>Hickman ME et al.  ·  Reprod Health  ·  30.06.2026  ·  PMID 42381006</w:t>
      </w:r>
    </w:p>
    <w:p>
      <w:r>
        <w:t>Qualitative Hybrid-Workshopstudie mit 60 Akademikern, Gesundheitsberuflern und Bürgern zur Frage, wer Verantwortung für Gesundheitsverbesserung vor der Schwangerschaft trägt.</w:t>
      </w:r>
    </w:p>
    <w:p>
      <w:r>
        <w:rPr>
          <w:b/>
        </w:rPr>
        <w:t xml:space="preserve">Ergebnis: </w:t>
      </w:r>
      <w:r>
        <w:t>Teilnehmende identifizierten, dass Frauen überproportional die Verantwortung für Präkonzeptionsgesundheit tragen, was sich in Forschung, Gesundheitswesen und Gesellschaft widerspiegelt. Empfehlungen zielten auf: (1) Gesellschafts-, Gemeinschafts- und Kulturveränderung, (2) Bildung und frühes Bewusstsein, (3) zukünftige Forschung, (4) Systemebenen- und Politiklösungen mit Schwerpunkt auf gleichberechtigte Partnereinbeziehung.</w:t>
      </w:r>
    </w:p>
    <w:p>
      <w:r>
        <w:rPr>
          <w:b/>
          <w:sz w:val="19"/>
        </w:rPr>
        <w:t xml:space="preserve">Übertragbarkeit: </w:t>
      </w:r>
      <w:r>
        <w:rPr>
          <w:sz w:val="19"/>
        </w:rPr>
        <w:t>UK/EMCR-Netzwerk, europäisch übertragbar, zeigt Zugangsbarriere und Zuschreibung</w:t>
      </w:r>
    </w:p>
    <w:p>
      <w:r>
        <w:rPr>
          <w:color w:val="5A7D3A"/>
          <w:sz w:val="18"/>
        </w:rPr>
        <w:t>https://pubmed.ncbi.nlm.nih.gov/42381006/</w:t>
      </w:r>
    </w:p>
    <w:p>
      <w:pPr>
        <w:pStyle w:val="Heading1"/>
      </w:pPr>
      <w:r>
        <w:t>Aufgenommen am 18.09.2026</w:t>
      </w:r>
    </w:p>
    <w:p>
      <w:pPr>
        <w:pStyle w:val="Heading2"/>
      </w:pPr>
      <w:r>
        <w:t>Herzinsuffizienz mit erhaltener Ejektionsfraktion: Frauen zeigen andere Phänotypen und Risikofaktoren</w:t>
      </w:r>
    </w:p>
    <w:p>
      <w:r>
        <w:rPr>
          <w:i/>
          <w:color w:val="666666"/>
          <w:sz w:val="18"/>
        </w:rPr>
        <w:t>Kim SJ et al.  ·  Korean J Intern Med  ·  01.09.2026  ·  PMID 42754518</w:t>
      </w:r>
    </w:p>
    <w:p>
      <w:r>
        <w:t>Geschlechtsspezifische klinische Übersichtsarbeit zu Pathophysiologie, Präsentation und Therapieresponse der HFpEF mit biologischen Unterschieden zwischen Frauen und Männern.</w:t>
      </w:r>
    </w:p>
    <w:p>
      <w:r>
        <w:rPr>
          <w:b/>
        </w:rPr>
        <w:t xml:space="preserve">Ergebnis: </w:t>
      </w:r>
      <w:r>
        <w:t>Bei Frauen ist HFpEF häufig mit kardiometabolischem Stress, vaskulärer Dysfunktion und erhöhtem ventrikulär-arteriellem Coupling verbunden (konzentrische Remodellierung, ausgeprägtes Symptombild). Bei Männern überwiegt ein Ischämie-assoziierter Phänotyp mit adversen Umbauprozessen und diffuser myokardialer Fibrose. Diese biologischen Unterschiede beeinflussen Klinik, Biomarker-Interpretation, bildgebende Befunde und Langzeitergebnisse; neurohormonal modulierende Interventionen können differentielle Wirksamkeit zeigen.</w:t>
      </w:r>
    </w:p>
    <w:p>
      <w:r>
        <w:rPr>
          <w:b/>
          <w:sz w:val="19"/>
        </w:rPr>
        <w:t xml:space="preserve">Übertragbarkeit: </w:t>
      </w:r>
      <w:r>
        <w:rPr>
          <w:sz w:val="19"/>
        </w:rPr>
        <w:t>Südkorea, pathophysiologische Unterschiede biologisch begründet; auf AWMF-Leitlinien HFpEF anwendbar</w:t>
      </w:r>
    </w:p>
    <w:p>
      <w:r>
        <w:rPr>
          <w:color w:val="5A7D3A"/>
          <w:sz w:val="18"/>
        </w:rPr>
        <w:t>https://pubmed.ncbi.nlm.nih.gov/42754518/</w:t>
      </w:r>
    </w:p>
    <w:p>
      <w:pPr>
        <w:pStyle w:val="Heading2"/>
      </w:pPr>
      <w:r>
        <w:t>Geschlecht und Gender in Leitlinien: Evidence Gaps und Politisierung behindern Integration</w:t>
      </w:r>
    </w:p>
    <w:p>
      <w:r>
        <w:rPr>
          <w:i/>
          <w:color w:val="666666"/>
          <w:sz w:val="18"/>
        </w:rPr>
        <w:t>Maheen H et al.  ·  BMJ Open  ·  17.09.2026  ·  PMID 42754283</w:t>
      </w:r>
    </w:p>
    <w:p>
      <w:r>
        <w:t>Qualitative Studie mit 28 Experten zu aktuellen Herausforderungen, Barrieren und praktischen Strategien für die Einbeziehung von Geschlecht in klinische Leitlinien.</w:t>
      </w:r>
    </w:p>
    <w:p>
      <w:r>
        <w:rPr>
          <w:b/>
        </w:rPr>
        <w:t xml:space="preserve">Ergebnis: </w:t>
      </w:r>
      <w:r>
        <w:t>Zwei zentrale Herausforderungen wurden identifiziert: (1) persistente Evidence Gaps mit mangelnden geschlechtergetrennten klinischen Daten, nur 5 % der Fachleute beantworteten alle LGBTQIA+-Fragen korrekt, 40 % berichteten Schwierigkeiten bei sexueller Gesundheit, 80 % wünschten LGBTQIA+-Schulung; (2) Politisierung von Terminology behindert Klarheit und Konsistenz. Empfohlen: stärkere geschlechts- und gendergetrennte Evidenz, klare Berichtstandards, inklusive Sprache und höherer Frauenanteil in Leitliniengremien sowie intersektionaler Ansatz. Das adressiert die methodische Grundproblematik dieser Versorgungsgruppe.</w:t>
      </w:r>
    </w:p>
    <w:p>
      <w:r>
        <w:rPr>
          <w:b/>
          <w:sz w:val="19"/>
        </w:rPr>
        <w:t xml:space="preserve">Übertragbarkeit: </w:t>
      </w:r>
      <w:r>
        <w:rPr>
          <w:sz w:val="19"/>
        </w:rPr>
        <w:t>Australien, international übertragbar; zeigt Leitlinien-Implementierungsbarrieren und notwendige Strukturreformen</w:t>
      </w:r>
    </w:p>
    <w:p>
      <w:r>
        <w:rPr>
          <w:color w:val="5A7D3A"/>
          <w:sz w:val="18"/>
        </w:rPr>
        <w:t>https://pubmed.ncbi.nlm.nih.gov/42754283/</w:t>
      </w:r>
    </w:p>
    <w:p>
      <w:pPr>
        <w:pStyle w:val="Heading2"/>
      </w:pPr>
      <w:r>
        <w:t>Fußball-Gesundheitsprogramm: Wie Männer über Freizeitaktivitäten erreicht werden</w:t>
      </w:r>
    </w:p>
    <w:p>
      <w:r>
        <w:rPr>
          <w:i/>
          <w:color w:val="666666"/>
          <w:sz w:val="18"/>
        </w:rPr>
        <w:t>McDermott C et al.  ·  Health Promot Int  ·  01.09.2026  ·  PMID 42751981</w:t>
      </w:r>
    </w:p>
    <w:p>
      <w:r>
        <w:t>Qualitative Analyse, wie ein irisches Fußball-Kooperativ-Programm Männer mit höchstem Gesundheitsrisiko durch Geschlechtskultur und Organisationskultur erreicht und in Gesundheitsveränderung einbezieht.</w:t>
      </w:r>
    </w:p>
    <w:p>
      <w:r>
        <w:rPr>
          <w:b/>
        </w:rPr>
        <w:t xml:space="preserve">Ergebnis: </w:t>
      </w:r>
      <w:r>
        <w:t>Reflexive thematische Analyse von 33 Interviews ergab drei Themen: (1) Fußball funktioniert als kulturelle Annahme in Männeridentität ohne Gesundheitsrahmen; (2) die Organisationskultur der FC-Spiele passt zu und erhält bestehende Bedeutungsmuster durch Design, Zuverlässigkeit und inklusive Normen; (3) wenn diese Kulturen übereinstimmen, erleben Männer, die konventionelle Gesundheitsrouten meiden, bedeutungsvolle Gesundheits- und Sozialergebnisse. Dies zeigt einen Zugangsweg und eine Versorgungsmassnahme an – Geschlecht prägt sowohl die Barriere als auch die Lösung.</w:t>
      </w:r>
    </w:p>
    <w:p>
      <w:r>
        <w:rPr>
          <w:b/>
          <w:sz w:val="19"/>
        </w:rPr>
        <w:t xml:space="preserve">Übertragbarkeit: </w:t>
      </w:r>
      <w:r>
        <w:rPr>
          <w:sz w:val="19"/>
        </w:rPr>
        <w:t>Irland, ähnliches Versicherungssystem; zeigt Versorgungszugangsbarriere und Lösungsweg für Männergesundheit</w:t>
      </w:r>
    </w:p>
    <w:p>
      <w:r>
        <w:rPr>
          <w:color w:val="5A7D3A"/>
          <w:sz w:val="18"/>
        </w:rPr>
        <w:t>https://pubmed.ncbi.nlm.nih.gov/42751981/</w:t>
      </w:r>
    </w:p>
    <w:p>
      <w:pPr>
        <w:pStyle w:val="Heading2"/>
      </w:pPr>
      <w:r>
        <w:t>Lithium: Frauen benötigen niedrigere Dosen, Dosisanpassung in der Schwangerschaft erforderlich</w:t>
      </w:r>
    </w:p>
    <w:p>
      <w:r>
        <w:rPr>
          <w:i/>
          <w:color w:val="666666"/>
          <w:sz w:val="18"/>
        </w:rPr>
        <w:t>Papapanagou Chroni M et al.  ·  Rev Med Suisse  ·  16.09.2026  ·  PMID 42750579</w:t>
      </w:r>
    </w:p>
    <w:p>
      <w:r>
        <w:t>Geschlechtsspezifische Dosierung von Lithium und Besonderheiten in der Perinatalzeit: Frauen benötigen niedrigere Dosen als Männer und haben erhöhtes Risiko für Nieren- und Schilddrüsennebenwirkungen.</w:t>
      </w:r>
    </w:p>
    <w:p>
      <w:r>
        <w:rPr>
          <w:b/>
        </w:rPr>
        <w:t xml:space="preserve">Ergebnis: </w:t>
      </w:r>
      <w:r>
        <w:t>Frauen benötigen niedrigere Lithium-Dosen als Männer. In der Schwangerschaft steigt die Lithium-Clearance um 30–50 %, weshalb häufige Dosisanpassungen auf therapeutische Serumkonzentrationen von 0,6–1,0 mmol/l erforderlich sind. Lithium ist mit moderatem erhöhtem Malformationsrisiko assoziiert (OR: 1,75–1,81), besonders kardiale Missbildungen, aber das absolute Risiko bleibt niedrig. Dies zeigt biologisch und pharmakokinetisch bedingte Unterschiede, die Dosierungsempfehlungen nach Geschlecht erfordern.</w:t>
      </w:r>
    </w:p>
    <w:p>
      <w:r>
        <w:rPr>
          <w:b/>
          <w:sz w:val="19"/>
        </w:rPr>
        <w:t xml:space="preserve">Übertragbarkeit: </w:t>
      </w:r>
      <w:r>
        <w:rPr>
          <w:sz w:val="19"/>
        </w:rPr>
        <w:t>Schweiz/deutschsprachig, vergleichbare Versicherungssysteme, psychiatrische Standardpraxis</w:t>
      </w:r>
    </w:p>
    <w:p>
      <w:r>
        <w:rPr>
          <w:color w:val="5A7D3A"/>
          <w:sz w:val="18"/>
        </w:rPr>
        <w:t>https://pubmed.ncbi.nlm.nih.gov/42750579/</w:t>
      </w:r>
    </w:p>
    <w:p>
      <w:pPr>
        <w:pStyle w:val="Heading2"/>
      </w:pPr>
      <w:r>
        <w:t>Kreatinin-Referenzwerte bei Down-Syndrom: Geschlechts- und altersgerechte Kurven erforderlich</w:t>
      </w:r>
    </w:p>
    <w:p>
      <w:r>
        <w:rPr>
          <w:i/>
          <w:color w:val="666666"/>
          <w:sz w:val="18"/>
        </w:rPr>
        <w:t>Gür K et al.  ·  Eur J Pediatr  ·  16.09.2026  ·  PMID 42749794</w:t>
      </w:r>
    </w:p>
    <w:p>
      <w:r>
        <w:t>Entwicklung alters- und geschlechtsspezifischer Serum-Kreatinin-Referenzkurven für Kinder und Jugendliche mit Down-Syndrom zur verbesserten Nierenmonitorierung.</w:t>
      </w:r>
    </w:p>
    <w:p>
      <w:r>
        <w:rPr>
          <w:b/>
        </w:rPr>
        <w:t xml:space="preserve">Ergebnis: </w:t>
      </w:r>
      <w:r>
        <w:t>Serum-Kreatinin stieg nichtlinear mit dem Alter in beiden Geschlechtern mit progressiver Geschlechtertrennung in der Adoleszenz. Die 97,5. Perzentile betrug bei Jungen 0,44 mg/dL (39 μmol/L) in der frühen Kindheit und 1,32 mg/dL (117 μmol/L) mit 17–18 Jahren; bei Mädchen 0,42 mg/dL (37 μmol/L) bzw. 1,01 mg/dL (89 μmol/L). Dies zeigt biologische Unterschiede in der Nierenfunktion, die für die korrekte Interpretation von Kreatininwerten essentiell sind.</w:t>
      </w:r>
    </w:p>
    <w:p>
      <w:r>
        <w:rPr>
          <w:b/>
          <w:sz w:val="19"/>
        </w:rPr>
        <w:t xml:space="preserve">Übertragbarkeit: </w:t>
      </w:r>
      <w:r>
        <w:rPr>
          <w:sz w:val="19"/>
        </w:rPr>
        <w:t>Türkei, größere Kohorte; geschlechtergetrennte Daten mit GAMLSS-Modellierung, methodisch übertragbar</w:t>
      </w:r>
    </w:p>
    <w:p>
      <w:r>
        <w:rPr>
          <w:color w:val="5A7D3A"/>
          <w:sz w:val="18"/>
        </w:rPr>
        <w:t>https://pubmed.ncbi.nlm.nih.gov/42749794/</w:t>
      </w:r>
    </w:p>
    <w:p>
      <w:pPr>
        <w:pStyle w:val="Heading2"/>
      </w:pPr>
      <w:r>
        <w:t>Depression bei trans Frauen mit HIV: Strukturelle Determinanten schwerer als individuelle Faktoren</w:t>
      </w:r>
    </w:p>
    <w:p>
      <w:r>
        <w:rPr>
          <w:i/>
          <w:color w:val="666666"/>
          <w:sz w:val="18"/>
        </w:rPr>
        <w:t>Van Huizen R et al.  ·  AIDS Behav  ·  05.06.2026  ·  PMID 42249232</w:t>
      </w:r>
    </w:p>
    <w:p>
      <w:r>
        <w:t>Bestimmung individueller, sozialer und struktureller Determinanten von Depression bei 493 transgeschlechtlichen Frauen mit HIV in Frankreich mittels modifizierter Poisson-Regression.</w:t>
      </w:r>
    </w:p>
    <w:p>
      <w:r>
        <w:rPr>
          <w:b/>
        </w:rPr>
        <w:t xml:space="preserve">Ergebnis: </w:t>
      </w:r>
      <w:r>
        <w:t>Ein Drittel (31 %) der Teilnehmerinnen zeigte moderate bis schwere Depression (PHQ-9 ≥ 8). Risikofaktoren in multivariater Analyse: Lebenslanges Gewalt erlebnis, Belästigung durch Fremde in öffentlichen Räumen wegen transgender Identität, finanzielle Schwierigkeiten, lange Verzögerung zwischen HIV-Diagnose und Therapiebeginn. Protektiv wirkten emotionale Unterstützung und aufmerksame HIV-Versorger. Das zeigt, dass soziale und strukturelle, nicht individuelle Faktoren dominieren – eine Zugangsbarrierenfrage, nicht primär biologisch begründet.</w:t>
      </w:r>
    </w:p>
    <w:p>
      <w:r>
        <w:rPr>
          <w:b/>
          <w:sz w:val="19"/>
        </w:rPr>
        <w:t xml:space="preserve">Übertragbarkeit: </w:t>
      </w:r>
      <w:r>
        <w:rPr>
          <w:sz w:val="19"/>
        </w:rPr>
        <w:t>Frankreich, europäisches System; INSERM-Kohorte mit quantitativen Strukturdaten</w:t>
      </w:r>
    </w:p>
    <w:p>
      <w:r>
        <w:rPr>
          <w:color w:val="5A7D3A"/>
          <w:sz w:val="18"/>
        </w:rPr>
        <w:t>https://pubmed.ncbi.nlm.nih.gov/42249232/</w:t>
      </w:r>
    </w:p>
    <w:p>
      <w:pPr>
        <w:pStyle w:val="Heading1"/>
      </w:pPr>
      <w:r>
        <w:t>Aufgenommen am 17.09.2026</w:t>
      </w:r>
    </w:p>
    <w:p>
      <w:pPr>
        <w:pStyle w:val="Heading2"/>
      </w:pPr>
      <w:r>
        <w:t>Testosterontherapie erhöht Infektionsvulnerabilität: ACE2- und TMPRSS2-Expression in Nasengewebe</w:t>
      </w:r>
    </w:p>
    <w:p>
      <w:r>
        <w:rPr>
          <w:i/>
          <w:color w:val="666666"/>
          <w:sz w:val="18"/>
        </w:rPr>
        <w:t>Uysal S et al.  ·  Endocrine  ·  16.09.2026  ·  PMID 42747672</w:t>
      </w:r>
    </w:p>
    <w:p>
      <w:r>
        <w:t>Türkische prospektive Studie untersuchte, wie Geschlechtsangleichende Hormontherapie die Expression von Rezeptoren für Viruseindringen (ACE2, TMPRSS2) in Nasen- und Mundschleimhaut verändert – relevant für Infektionsrisiko.</w:t>
      </w:r>
    </w:p>
    <w:p>
      <w:r>
        <w:rPr>
          <w:b/>
        </w:rPr>
        <w:t xml:space="preserve">Ergebnis: </w:t>
      </w:r>
      <w:r>
        <w:t>Bei AFAB-Personen unter Testosterontherapie stieg TMPRSS2-Expression in der Nasenschleimhaut nach 12 Monaten signifikant an (p=0,008), war aber in der Mundschleimhaut stabil (p=0,810). Nach Testosterontherapie war nasale TMPRSS2-Expression in AFAB höher als in cisgender Männern, Unterschied nicht signifikant (p=0,290). Signifikante Korrelation zwischen ACE2 und TMPRSS2 nur in Nasenschleimhaut nach einem Jahr.</w:t>
      </w:r>
    </w:p>
    <w:p>
      <w:r>
        <w:rPr>
          <w:b/>
          <w:sz w:val="19"/>
        </w:rPr>
        <w:t xml:space="preserve">Übertragbarkeit: </w:t>
      </w:r>
      <w:r>
        <w:rPr>
          <w:sz w:val="19"/>
        </w:rPr>
        <w:t>Biologischer Wirkmechanismus; Testosteron als Expositionsfaktor. Relevanz für geschlechtsangleichende Behandlung unklar, weitere Studien nötig.</w:t>
      </w:r>
    </w:p>
    <w:p>
      <w:r>
        <w:rPr>
          <w:color w:val="5A7D3A"/>
          <w:sz w:val="18"/>
        </w:rPr>
        <w:t>https://pubmed.ncbi.nlm.nih.gov/42747672/</w:t>
      </w:r>
    </w:p>
    <w:p>
      <w:pPr>
        <w:pStyle w:val="Heading2"/>
      </w:pPr>
      <w:r>
        <w:t>Roboter-assistierte Dickdarmresektion: Frauen zeigen unterschiedliche Lymphknoten-Ausbeute</w:t>
      </w:r>
    </w:p>
    <w:p>
      <w:r>
        <w:rPr>
          <w:i/>
          <w:color w:val="666666"/>
          <w:sz w:val="18"/>
        </w:rPr>
        <w:t>Benlice C et al.  ·  Int J Med Robot  ·  Okt. 2026  ·  PMID 42747085</w:t>
      </w:r>
    </w:p>
    <w:p>
      <w:r>
        <w:t>Türkische Mehrzentrums-Studie mit geschlechtsstratifizierter Analyse verglich Ergebnisse der roboter-assistierten versus laparoskopischen Low-Anterior-Resektion bei Rektumkrebs zwischen Männern und Frauen.</w:t>
      </w:r>
    </w:p>
    <w:p>
      <w:r>
        <w:rPr>
          <w:b/>
        </w:rPr>
        <w:t xml:space="preserve">Ergebnis: </w:t>
      </w:r>
      <w:r>
        <w:t>Bei 380 Patienten (172 Männer, 114 Frauen, Mittel-Alter 61 Jahre): Bei Männern waren robotische und laparoskopische Operation vergleichbar (Lymphknoten, Resektionsränder, Morbidität, lokales Rezidiv, alle p&gt;0,05). Bei Frauen zeigte roboterassistierte Operation signifikant weniger Lymphknoten pro Präparat (p=0,01), aber gleichwertige 5-Jahres-Überlebensraten zwischen Verfahren in beiden Geschlechtern.</w:t>
      </w:r>
    </w:p>
    <w:p>
      <w:r>
        <w:rPr>
          <w:b/>
          <w:sz w:val="19"/>
        </w:rPr>
        <w:t xml:space="preserve">Übertragbarkeit: </w:t>
      </w:r>
      <w:r>
        <w:rPr>
          <w:sz w:val="19"/>
        </w:rPr>
        <w:t>Technische Unterschiede in Handhabung zwischen Geschlechtern möglich; Geschlechterunterschiede deuten auf Biologie hin (Beckengeometrie, Organverhältnisse), nicht auf Qualität.</w:t>
      </w:r>
    </w:p>
    <w:p>
      <w:r>
        <w:rPr>
          <w:color w:val="5A7D3A"/>
          <w:sz w:val="18"/>
        </w:rPr>
        <w:t>https://pubmed.ncbi.nlm.nih.gov/42747085/</w:t>
      </w:r>
    </w:p>
    <w:p>
      <w:pPr>
        <w:pStyle w:val="Heading2"/>
      </w:pPr>
      <w:r>
        <w:t>Chemsex bei schwulen Männern: Gebrauchsmuster bestimmen STI-Risiko stärker als bloße Häufigkeit</w:t>
      </w:r>
    </w:p>
    <w:p>
      <w:r>
        <w:rPr>
          <w:i/>
          <w:color w:val="666666"/>
          <w:sz w:val="18"/>
        </w:rPr>
        <w:t>Jaha B et al.  ·  J Int AIDS Soc  ·  Sept. 2026  ·  PMID 42740683</w:t>
      </w:r>
    </w:p>
    <w:p>
      <w:r>
        <w:t>Schweizer Längsstuitstudie (107.855 Visiten, 13.304 schwule/bisexuelle Männer mit HIV oder PrEP 2019-2024) untersuchte, welche Substanzen, Häufigkeitsmuster und Risikofaktoren Chemsex-Gebrauch vorhersagen und wie er mit Geschlechtskrankheiten und psychischer Belastung zusammenhängt.</w:t>
      </w:r>
    </w:p>
    <w:p>
      <w:r>
        <w:rPr>
          <w:b/>
        </w:rPr>
        <w:t xml:space="preserve">Ergebnis: </w:t>
      </w:r>
      <w:r>
        <w:t>17,2% der Männer berichten Chemsex-Gebrauch (21,4% in PrEP-Kohorte vs. 11,2% HIV-Kohortenstudie). Zeitlich begrenzte Nutzung oder Genesung zeigten niedrigstes STI-Risiko und niedrigsten Partner-Count. Intermittierender Gebrauch war nur für Syphilis protektiv. Gebrauch assoziiert mit Depression, unsicheren Kondomen, hohem Partner-Count und STI. Alter &lt;26 (aOR 0,82), &gt;37 (aOR 0,54), bisexuelle Orientierung (aOR 0,78) zeigten niedrigere Odds; französischsprachige Zentren (aOR 1,41) höhere Odds.</w:t>
      </w:r>
    </w:p>
    <w:p>
      <w:r>
        <w:rPr>
          <w:b/>
          <w:sz w:val="19"/>
        </w:rPr>
        <w:t xml:space="preserve">Übertragbarkeit: </w:t>
      </w:r>
      <w:r>
        <w:rPr>
          <w:sz w:val="19"/>
        </w:rPr>
        <w:t>Schweiz: Kohorte-Daten mit stabiler Erfassung, aber Geschlechterunterschied nicht primärer Fokus; relevante Unterschiede in der Präsentation zwischen Männern und Frauen bleiben offen.</w:t>
      </w:r>
    </w:p>
    <w:p>
      <w:r>
        <w:rPr>
          <w:color w:val="5A7D3A"/>
          <w:sz w:val="18"/>
        </w:rPr>
        <w:t>https://pubmed.ncbi.nlm.nih.gov/42740683/</w:t>
      </w:r>
    </w:p>
    <w:p>
      <w:pPr>
        <w:pStyle w:val="Heading2"/>
      </w:pPr>
      <w:r>
        <w:t>Albumin-Globulin-Quotient und Knochendichte: Frauen reagieren 3-fach stärker auf Entzündungsmarker</w:t>
      </w:r>
    </w:p>
    <w:p>
      <w:r>
        <w:rPr>
          <w:i/>
          <w:color w:val="666666"/>
          <w:sz w:val="18"/>
        </w:rPr>
        <w:t>Liu S et al.  ·  Medicine (Baltimore)  ·  11.09.2026  ·  PMID 42736730</w:t>
      </w:r>
    </w:p>
    <w:p>
      <w:r>
        <w:t>US-Querschnittsstudie (NHANES 2005-2018, 10.101 Erwachsene) untersuchte mittels piecewise regression, ob die Beziehung zwischen Albumin-Globulin-Quotient und Knochendichte nicht-linear ist und zwischen Geschlechtern unterschiedlich ausfällt.</w:t>
      </w:r>
    </w:p>
    <w:p>
      <w:r>
        <w:rPr>
          <w:b/>
        </w:rPr>
        <w:t xml:space="preserve">Ergebnis: </w:t>
      </w:r>
      <w:r>
        <w:t>Jede Einheit AGR-Anstieg korrelierte mit reduzierter Femur-Hals-Knochendichte (β=-0,0354 g/cm²) und Lendenwirbel-Dichte (β=-0,0245 g/cm²). Nichtlineare Analysen zeigten Inflektionspunkte (Femur 1,74; Lendenwirbel 1,17). Frauen zeigten 3,1-fach stärkere inverse Assoziation als Männer (P&lt;0,0001). Starker sexueller Dimorphismus.</w:t>
      </w:r>
    </w:p>
    <w:p>
      <w:r>
        <w:rPr>
          <w:b/>
          <w:sz w:val="19"/>
        </w:rPr>
        <w:t xml:space="preserve">Übertragbarkeit: </w:t>
      </w:r>
      <w:r>
        <w:rPr>
          <w:sz w:val="19"/>
        </w:rPr>
        <w:t>USA-Routine-Daten; Geschlechterunterschiede deuten auf Biologie hin (Östrogen, Entzündung), aber keine Dosierungs- oder Zugangsanalyse.</w:t>
      </w:r>
    </w:p>
    <w:p>
      <w:r>
        <w:rPr>
          <w:color w:val="5A7D3A"/>
          <w:sz w:val="18"/>
        </w:rPr>
        <w:t>https://pubmed.ncbi.nlm.nih.gov/42736730/</w:t>
      </w:r>
    </w:p>
    <w:p>
      <w:pPr>
        <w:pStyle w:val="Heading2"/>
      </w:pPr>
      <w:r>
        <w:t>Herzrhythmusstörungen nach Schlaganfall: Männer zeigen häufiger ventrikuläre Arrhythmien</w:t>
      </w:r>
    </w:p>
    <w:p>
      <w:r>
        <w:rPr>
          <w:i/>
          <w:color w:val="666666"/>
          <w:sz w:val="18"/>
        </w:rPr>
        <w:t>Schmick A et al.  ·  J Am Heart Assoc  ·  15.09.2026  ·  PMID 42714452</w:t>
      </w:r>
    </w:p>
    <w:p>
      <w:r>
        <w:t>Schweizer Kohortenstudie mit 673 Schlaganfallpatienten ohne bekannte Herzerkrankung untersuchte, ob neu aufgetretene Herzpathologien in Geschlechtsunterschieden häufiger vorkommen.</w:t>
      </w:r>
    </w:p>
    <w:p>
      <w:r>
        <w:rPr>
          <w:b/>
        </w:rPr>
        <w:t xml:space="preserve">Ergebnis: </w:t>
      </w:r>
      <w:r>
        <w:t>Männer entwickelten signifikant häufiger nicht-anhaltende ventrikuläre Tachykardie (OR 3,97), AV-Blockierungen ersten Grades (OR 5,71), Bradykardien (OR 3,40) und polymorphe ventrikuläre Extrasystolen (OR 2,61) als Frauen innerhalb eines Jahres nach Schlaganfall.</w:t>
      </w:r>
    </w:p>
    <w:p>
      <w:r>
        <w:rPr>
          <w:b/>
          <w:sz w:val="19"/>
        </w:rPr>
        <w:t xml:space="preserve">Übertragbarkeit: </w:t>
      </w:r>
      <w:r>
        <w:rPr>
          <w:sz w:val="19"/>
        </w:rPr>
        <w:t>Schweiz: vergleichbare Dokumentation und Spitalstruktur, kardiovaskuläre Nachsorge-Standards ähnlich Deutschland.</w:t>
      </w:r>
    </w:p>
    <w:p>
      <w:r>
        <w:rPr>
          <w:color w:val="5A7D3A"/>
          <w:sz w:val="18"/>
        </w:rPr>
        <w:t>https://pubmed.ncbi.nlm.nih.gov/42714452/</w:t>
      </w:r>
    </w:p>
    <w:p>
      <w:pPr>
        <w:pStyle w:val="Heading2"/>
      </w:pPr>
      <w:r>
        <w:t>Psychische Störungen nach Trauma: Alkoholabhängigkeit und Depression vorhersagen Herzinfarkt und Schlaganfall stärker als PTBS</w:t>
      </w:r>
    </w:p>
    <w:p>
      <w:r>
        <w:rPr>
          <w:i/>
          <w:color w:val="666666"/>
          <w:sz w:val="18"/>
        </w:rPr>
        <w:t>Sumner JA et al.  ·  J Am Heart Assoc  ·  15.09.2026  ·  PMID 42684053</w:t>
      </w:r>
    </w:p>
    <w:p>
      <w:r>
        <w:t>Dänische bevölkerungsbasierte Fall-Kontroll-Studie untersuchte mit Machine Learning, welche psychiatrischen Störungen nach Traumaexposition die Vorhersage von Herz- und Hirninfarkt am besten treffen und ob Unterschiede zwischen Geschlechtern bestehen.</w:t>
      </w:r>
    </w:p>
    <w:p>
      <w:r>
        <w:rPr>
          <w:b/>
        </w:rPr>
        <w:t xml:space="preserve">Ergebnis: </w:t>
      </w:r>
      <w:r>
        <w:t>Bei Männern und Frauen war Alkoholabhängigkeit der stärkste psychiatrische Prädiktor für kardiovaskuläre Ereignisse. Depressive Episoden waren für Frauen aussagekräftiger als für Männer. Beide Geschlechter zeigten erhöhte Odds Ratios für kardiovaskuläre Ereignisse bei Vorliegen psychiatrischer Störungen.</w:t>
      </w:r>
    </w:p>
    <w:p>
      <w:r>
        <w:rPr>
          <w:b/>
          <w:sz w:val="19"/>
        </w:rPr>
        <w:t xml:space="preserve">Übertragbarkeit: </w:t>
      </w:r>
      <w:r>
        <w:rPr>
          <w:sz w:val="19"/>
        </w:rPr>
        <w:t>Dänemark: nationale Routinedaten mit vollständiger medizinischer Erfassung, hohe Systemvergleichbarkeit mit Deutschland.</w:t>
      </w:r>
    </w:p>
    <w:p>
      <w:r>
        <w:rPr>
          <w:color w:val="5A7D3A"/>
          <w:sz w:val="18"/>
        </w:rPr>
        <w:t>https://pubmed.ncbi.nlm.nih.gov/42684053/</w:t>
      </w:r>
    </w:p>
    <w:p>
      <w:pPr>
        <w:pStyle w:val="Heading2"/>
      </w:pPr>
      <w:r>
        <w:t>Partnerschaftliche Träume zeigen Geschlechterdifferenz: Frauen profitieren emotional weniger von Beziehungen</w:t>
      </w:r>
    </w:p>
    <w:p>
      <w:r>
        <w:rPr>
          <w:i/>
          <w:color w:val="666666"/>
          <w:sz w:val="18"/>
        </w:rPr>
        <w:t>Schredl M  ·  Behav Brain Sci  ·  01.06.2026  ·  PMID 42222969</w:t>
      </w:r>
    </w:p>
    <w:p>
      <w:r>
        <w:t>Deutsche Schlafforschung präsentiert Evidenz aus Traumstudien, dass partnerschaftliche Träume bei Frauen negativ getönt sind als bei Männern – Hinweis darauf, dass Frauen emotional weniger von Partnerschaften profitieren.</w:t>
      </w:r>
    </w:p>
    <w:p>
      <w:r>
        <w:rPr>
          <w:b/>
        </w:rPr>
        <w:t xml:space="preserve">Ergebnis: </w:t>
      </w:r>
      <w:r>
        <w:t>Partner-Träume sind bei Frauen negativ getönter als bei Männern, was darauf hindeutet, dass Frauen nicht so viel von Partnerschaften profitieren wie Männer. Konsequenzen von Trennungen sind emotional stressvoller für Frauen als für Männer – entgegen Aussagen in der Zielarbeit.</w:t>
      </w:r>
    </w:p>
    <w:p>
      <w:r>
        <w:rPr>
          <w:b/>
          <w:sz w:val="19"/>
        </w:rPr>
        <w:t xml:space="preserve">Übertragbarkeit: </w:t>
      </w:r>
      <w:r>
        <w:rPr>
          <w:sz w:val="19"/>
        </w:rPr>
        <w:t>Deutschland: deutschsprachige Forschung, psychologischer Befund zu Geschlechtsunterschieden, aber keine Versorgungsrelevanz benannt.</w:t>
      </w:r>
    </w:p>
    <w:p>
      <w:r>
        <w:rPr>
          <w:color w:val="5A7D3A"/>
          <w:sz w:val="18"/>
        </w:rPr>
        <w:t>https://pubmed.ncbi.nlm.nih.gov/42222969/</w:t>
      </w:r>
    </w:p>
    <w:p>
      <w:pPr>
        <w:pStyle w:val="Heading1"/>
      </w:pPr>
      <w:r>
        <w:t>Aufgenommen am 16.09.2026</w:t>
      </w:r>
    </w:p>
    <w:p>
      <w:pPr>
        <w:pStyle w:val="Heading2"/>
      </w:pPr>
      <w:r>
        <w:t>Belohnungsvorhersagefehler und Lernfähigkeit bei Methamphetaminabhängigen: Geschlechtsspezifische Unterschiede</w:t>
      </w:r>
    </w:p>
    <w:p>
      <w:r>
        <w:rPr>
          <w:i/>
          <w:color w:val="666666"/>
          <w:sz w:val="18"/>
        </w:rPr>
        <w:t>Liu Y et al.  ·  Brain Behav  ·  Sept. 2026  ·  PMID 42740507</w:t>
      </w:r>
    </w:p>
    <w:p>
      <w:r>
        <w:t>Experimentelle Studie an 82 Methamphetaminabhängigen (43 Männer, 39 Frauen) und 86 Kontrollpersonen zur Prüfung, ob Reward-Prediction-Error-abhängiges Lernen durch Geschlecht unterschiedlich beeinträchtigt ist.</w:t>
      </w:r>
    </w:p>
    <w:p>
      <w:r>
        <w:rPr>
          <w:b/>
        </w:rPr>
        <w:t xml:space="preserve">Ergebnis: </w:t>
      </w:r>
      <w:r>
        <w:t>Abhängige zeigten niedrigere Lernraten und Erkennungsgenauigkeit als Kontrollpersonen. GLMM-Analysen offenbarten geschlechtsspezifische Muster: Der Moderationseffekt der Gruppe auf die RPE-Lern-Beziehung war bei Frauen signifikant, nicht bei Männern (Interaktion p&lt;0,05). Weibliche Abhängige zeigten reduzierte RPE-Nutzungseffizienz trotz größerer Vorhersagefehler.</w:t>
      </w:r>
    </w:p>
    <w:p>
      <w:r>
        <w:rPr>
          <w:b/>
          <w:sz w:val="19"/>
        </w:rPr>
        <w:t xml:space="preserve">Übertragbarkeit: </w:t>
      </w:r>
      <w:r>
        <w:rPr>
          <w:sz w:val="19"/>
        </w:rPr>
        <w:t>China, Grundlagenforschung mit klinischen Implikationen; Befund zu Suchttherapie übertragbar, Mechanismus bleibt biologisch.</w:t>
      </w:r>
    </w:p>
    <w:p>
      <w:r>
        <w:rPr>
          <w:color w:val="5A7D3A"/>
          <w:sz w:val="18"/>
        </w:rPr>
        <w:t>https://pubmed.ncbi.nlm.nih.gov/42740507/</w:t>
      </w:r>
    </w:p>
    <w:p>
      <w:pPr>
        <w:pStyle w:val="Heading2"/>
      </w:pPr>
      <w:r>
        <w:t>Alters- und geschlechtsspezifische Referenzbereiche für Liquorgesamtprotein</w:t>
      </w:r>
    </w:p>
    <w:p>
      <w:r>
        <w:rPr>
          <w:i/>
          <w:color w:val="666666"/>
          <w:sz w:val="18"/>
        </w:rPr>
        <w:t>Guan YJ et al.  ·  Zhonghua Yu Fang Yi Xue Za Zhi  ·  06.09.2026  ·  PMID 42736153</w:t>
      </w:r>
    </w:p>
    <w:p>
      <w:r>
        <w:t>Retrospektive Querschnittstudie an 6.173 "scheinbar gesunden" Liquorproben zur Etablierung von Referenzbereichen für Gesamtprotein nach Alter und Geschlecht bei Han-Chinesen.</w:t>
      </w:r>
    </w:p>
    <w:p>
      <w:r>
        <w:rPr>
          <w:b/>
        </w:rPr>
        <w:t xml:space="preserve">Ergebnis: </w:t>
      </w:r>
      <w:r>
        <w:t>Liquorprotein stieg mit Alter (r=0,369, p&lt;0,001). Männer (481 mg/L) zeigten signifikant höhere Werte als Frauen (424 mg/L; U=3.664.330, p&lt;0,001). Referenzbereiche stiegen von 170–580 mg/L (18–25 Jahre) auf 250–900 mg/L (&gt;76 Jahre). Innerhalb gleicher Alterskohorten war die Obergrenze bei Männern höher, nur in &gt;76 Jahren leicht bei Frauen höher. Befund ermöglicht geschlechtsgerechte Diagnose von Hirntumoren und Demyelinisierung.</w:t>
      </w:r>
    </w:p>
    <w:p>
      <w:r>
        <w:rPr>
          <w:b/>
          <w:sz w:val="19"/>
        </w:rPr>
        <w:t xml:space="preserve">Übertragbarkeit: </w:t>
      </w:r>
      <w:r>
        <w:rPr>
          <w:sz w:val="19"/>
        </w:rPr>
        <w:t>China, großes Register; Prinzip der geschlechtergetrennten Referenzbereiche auf deutsche Routinelabore übertragbar.</w:t>
      </w:r>
    </w:p>
    <w:p>
      <w:r>
        <w:rPr>
          <w:color w:val="5A7D3A"/>
          <w:sz w:val="18"/>
        </w:rPr>
        <w:t>https://pubmed.ncbi.nlm.nih.gov/42736153/</w:t>
      </w:r>
    </w:p>
    <w:p>
      <w:pPr>
        <w:pStyle w:val="Heading2"/>
      </w:pPr>
      <w:r>
        <w:t>Nierensteine und Bluthochdruck bei Frauen nach der Menopause</w:t>
      </w:r>
    </w:p>
    <w:p>
      <w:r>
        <w:rPr>
          <w:i/>
          <w:color w:val="666666"/>
          <w:sz w:val="18"/>
        </w:rPr>
        <w:t>Javadi MH et al.  ·  Ann Epidemiol  ·  06.08.2026  ·  PMID 42562241</w:t>
      </w:r>
    </w:p>
    <w:p>
      <w:r>
        <w:t>Prospektive Kohortenstudie an 100.562 postmenopausalen Frauen ohne Baseline-Hypertonie zur Frage, ob Urolithiasis mit neu aufgetretenem Bluthochdruck und möglichen Interaktionen mit Entzündung und Lebensstil assoziiert ist.</w:t>
      </w:r>
    </w:p>
    <w:p>
      <w:r>
        <w:rPr>
          <w:b/>
        </w:rPr>
        <w:t xml:space="preserve">Ergebnis: </w:t>
      </w:r>
      <w:r>
        <w:t>Urolithiasis war mit erhöhtem Hypertonie-Risiko assoziiert (bereinigt HR=1,16, 95%-KI: 1,02–1,35; p=0,05). Recidivierende Steine erhöhten das Risiko versus keine Vorgeschichte (HR=1,14; 95%-KI: 1,02–1,28; p=0,03). Körperliche Aktivität modifizierte die Assoziation signifikant (Interaktion p=0,03). Die absolute Risikosteigerung war moderat.</w:t>
      </w:r>
    </w:p>
    <w:p>
      <w:r>
        <w:rPr>
          <w:b/>
          <w:sz w:val="19"/>
        </w:rPr>
        <w:t xml:space="preserve">Übertragbarkeit: </w:t>
      </w:r>
      <w:r>
        <w:rPr>
          <w:sz w:val="19"/>
        </w:rPr>
        <w:t>USA, geschlechtergetrennte Routinedaten; Befund generalisierbar nur für postmenopausale Frauen.</w:t>
      </w:r>
    </w:p>
    <w:p>
      <w:r>
        <w:rPr>
          <w:color w:val="5A7D3A"/>
          <w:sz w:val="18"/>
        </w:rPr>
        <w:t>https://pubmed.ncbi.nlm.nih.gov/42562241/</w:t>
      </w:r>
    </w:p>
    <w:p>
      <w:pPr>
        <w:pStyle w:val="Heading2"/>
      </w:pPr>
      <w:r>
        <w:t>mpox-Ausbruch mit schwerer Proktitis bei Männern mit Sexualkontakten zu Männern, Nordirland 2026</w:t>
      </w:r>
    </w:p>
    <w:p>
      <w:r>
        <w:rPr>
          <w:i/>
          <w:color w:val="666666"/>
          <w:sz w:val="18"/>
        </w:rPr>
        <w:t>Harrison A et al.  ·  Euro Surveill  ·  Juli 2026  ·  PMID 42535291</w:t>
      </w:r>
    </w:p>
    <w:p>
      <w:r>
        <w:t>Deskriptive Surveillance eines Ausbruchs von mpox-Klade-Ib-Fällen zwischen Juni 2026 in Nordirland, charakterisiert durch anoректальe Erkrankung und Präsentation in nicht-spezialisierten klinischen Settings.</w:t>
      </w:r>
    </w:p>
    <w:p>
      <w:r>
        <w:rPr>
          <w:b/>
        </w:rPr>
        <w:t xml:space="preserve">Ergebnis: </w:t>
      </w:r>
      <w:r>
        <w:t>22 bestätigte Fälle bei Männern mit Sexualkontakten zu Männern (Medianalter 41 Jahre); 19 ohne Auslandsreisen 21 Tage vor Symptombeginn. Schwere anoректальe Manifestationen, Präsentation in Allgemeinkrankenhäusern statt Spezialkliniken. Der Befund zeigt unerkannte Transmission in der Bevölkerung.</w:t>
      </w:r>
    </w:p>
    <w:p>
      <w:r>
        <w:rPr>
          <w:b/>
          <w:sz w:val="19"/>
        </w:rPr>
        <w:t xml:space="preserve">Übertragbarkeit: </w:t>
      </w:r>
      <w:r>
        <w:rPr>
          <w:sz w:val="19"/>
        </w:rPr>
        <w:t>Vereinigtes Königreich, vergleichbar mit deutschen Überwachungs- und Klinikstrukturen; zeigt Diagnostiklücke auf Sekundärversorgungsebene.</w:t>
      </w:r>
    </w:p>
    <w:p>
      <w:r>
        <w:rPr>
          <w:color w:val="5A7D3A"/>
          <w:sz w:val="18"/>
        </w:rPr>
        <w:t>https://pubmed.ncbi.nlm.nih.gov/42535291/</w:t>
      </w:r>
    </w:p>
    <w:p>
      <w:pPr>
        <w:pStyle w:val="Heading2"/>
      </w:pPr>
      <w:r>
        <w:t>Rauchen und Alkohol erklären Geschlechterlücke bei Bildungsungleichheit in Lebenserwartung, Europa</w:t>
      </w:r>
    </w:p>
    <w:p>
      <w:r>
        <w:rPr>
          <w:i/>
          <w:color w:val="666666"/>
          <w:sz w:val="18"/>
        </w:rPr>
        <w:t>Janssen F et al.  ·  Ann Epidemiol  ·  03.07.2026  ·  PMID 42398740</w:t>
      </w:r>
    </w:p>
    <w:p>
      <w:r>
        <w:t>Vergleichende Lebenstafelanalyse (England, Wales, Finnland, Turin 1992–2017) zur Frage, wie stark Rauchen, Alkohol und Adipositas die größeren Bildungsungleichheiten in Restlebenserwartung mit 30 Jahren bei Männern erklären.</w:t>
      </w:r>
    </w:p>
    <w:p>
      <w:r>
        <w:rPr>
          <w:b/>
        </w:rPr>
        <w:t xml:space="preserve">Ergebnis: </w:t>
      </w:r>
      <w:r>
        <w:t>Männer hatten durchgehend höhere Bildungsungleichheiten als Frauen. Lebensstil-attribuierbare Mortalität erklärte 57% der Lücke in E&amp;W (1,1 Jahre), 70% in Finnland (2,6 Jahre), 92% in Turin (2,4 Jahre), getrieben durch Rauchen. Alkohol bestimmte Finnlands Trendumkehr 2007. Rauchen und Alkohol waren die dominierenden Treiber, nicht biologische Unterschiede.</w:t>
      </w:r>
    </w:p>
    <w:p>
      <w:r>
        <w:rPr>
          <w:b/>
          <w:sz w:val="19"/>
        </w:rPr>
        <w:t xml:space="preserve">Übertragbarkeit: </w:t>
      </w:r>
      <w:r>
        <w:rPr>
          <w:sz w:val="19"/>
        </w:rPr>
        <w:t>England, Finnland, Italien; europäische Routinedaten mit Parallelen zu deutschen Sterblich keitsdaten; Effekte replizierbar.</w:t>
      </w:r>
    </w:p>
    <w:p>
      <w:r>
        <w:rPr>
          <w:color w:val="5A7D3A"/>
          <w:sz w:val="18"/>
        </w:rPr>
        <w:t>https://pubmed.ncbi.nlm.nih.gov/42398740/</w:t>
      </w:r>
    </w:p>
    <w:p>
      <w:pPr>
        <w:pStyle w:val="Heading2"/>
      </w:pPr>
      <w:r>
        <w:t>Sexuelle Belästigung bei Arbeit: Geschlechts- und Altersmuster nach #MeToo</w:t>
      </w:r>
    </w:p>
    <w:p>
      <w:r>
        <w:rPr>
          <w:i/>
          <w:color w:val="666666"/>
          <w:sz w:val="18"/>
        </w:rPr>
        <w:t>Rosander M et al.  ·  J Child Sex Abus  ·  02.06.2026  ·  PMID 42231644</w:t>
      </w:r>
    </w:p>
    <w:p>
      <w:r>
        <w:t>Bevölkerungsstichprobe von 3.307 Beschäftigten in Schweden (2026) zur Prävalenz und Risikofaktoren von drei Formen sexueller Belästigung nach Geschlecht, Alter und Arbeitssektor.</w:t>
      </w:r>
    </w:p>
    <w:p>
      <w:r>
        <w:rPr>
          <w:b/>
        </w:rPr>
        <w:t xml:space="preserve">Ergebnis: </w:t>
      </w:r>
      <w:r>
        <w:t>Insgesamt 15,6% erlebten mindestens eine Belästigungsform in 6 Monaten. Frauen, besonders junge, waren überrepräsentiert bei unerwünschter sexueller Aufmerksamkeit (keine Unterschiede bei sexualisiertem Verhalten oder Zwang). Frauen im privaten Sektor und Männer im kommunalen Sektor berichteten höhere Exposition. Minoritätsstatus erhöhte Exposition bei beiden Geschlechtern. Gegengeschlechtliche Vorgesetzte waren mit erhöhter Exposition assoziiert, besonders für unerwünschte Aufmerksamkeit.</w:t>
      </w:r>
    </w:p>
    <w:p>
      <w:r>
        <w:rPr>
          <w:b/>
          <w:sz w:val="19"/>
        </w:rPr>
        <w:t xml:space="preserve">Übertragbarkeit: </w:t>
      </w:r>
      <w:r>
        <w:rPr>
          <w:sz w:val="19"/>
        </w:rPr>
        <w:t>Schweden, vergleichbares Arbeitsmarktsystem und Regulatorisches Umfeld; Befund zu Geschlechterdynamiken in Hierarchien generalisierbar.</w:t>
      </w:r>
    </w:p>
    <w:p>
      <w:r>
        <w:rPr>
          <w:color w:val="5A7D3A"/>
          <w:sz w:val="18"/>
        </w:rPr>
        <w:t>https://pubmed.ncbi.nlm.nih.gov/42231644/</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Englischproficiency und Versorgung: Wer die Sprache nicht spricht, kommt nicht an Versorgung heran – England</w:t>
      </w:r>
    </w:p>
    <w:p>
      <w:r>
        <w:rPr>
          <w:i/>
          <w:color w:val="666666"/>
          <w:sz w:val="18"/>
        </w:rPr>
        <w:t>Davidson R et al.  ·  Health Place  ·  13.07.2026  ·  PMID 42442179</w:t>
      </w:r>
    </w:p>
    <w:p>
      <w:r>
        <w:t>Analyse von Routinedaten aus Hausarztpraxen und Kliniken in Nordwestlondon: Zusammenhang zwischen Englischkenntnissen und gesundheitlicher Versorgung sowie Outcomes.</w:t>
      </w:r>
    </w:p>
    <w:p>
      <w:r>
        <w:rPr>
          <w:b/>
        </w:rPr>
        <w:t xml:space="preserve">Ergebnis: </w:t>
      </w:r>
      <w:r>
        <w:t>Personen ohne Englischkenntnisse zeigten höhere altersbereinigt Prävalenzen kardiometabolischer Erkrankungen und höhere primär- und sekundärmedizinische Inanspruchnahme. Sprachbarrieren sind ein signifikanter Zugangshindernis; Sprachunterstützung ab Registrierung wird empfohlen.</w:t>
      </w:r>
    </w:p>
    <w:p>
      <w:r>
        <w:rPr>
          <w:b/>
          <w:sz w:val="19"/>
        </w:rPr>
        <w:t xml:space="preserve">Übertragbarkeit: </w:t>
      </w:r>
      <w:r>
        <w:rPr>
          <w:sz w:val="19"/>
        </w:rPr>
        <w:t>Großbritannien (NHS), vergleichbare Dokumentationspflichten, anderer Zugang als Deutschland</w:t>
      </w:r>
    </w:p>
    <w:p>
      <w:r>
        <w:rPr>
          <w:color w:val="5A7D3A"/>
          <w:sz w:val="18"/>
        </w:rPr>
        <w:t>https://pubmed.ncbi.nlm.nih.gov/42442179/</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 und Gesundheit</dc:title>
  <dc:subject/>
  <dc:creator>Monitor Versorgungsforschung</dc:creator>
  <cp:keywords/>
  <dc:description>generated by python-docx</dc:description>
  <cp:lastModifiedBy/>
  <cp:revision>1</cp:revision>
  <dcterms:created xsi:type="dcterms:W3CDTF">2026-10-04T06:00:00Z</dcterms:created>
  <dcterms:modified xsi:type="dcterms:W3CDTF">2026-10-04T06:00:00Z</dcterms:modified>
  <cp:category/>
</cp:coreProperties>
</file>