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28.08.2026  |  6 Studien  |  gender.m-vf.de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Vietnamesisches Fachpersonal in deutscher Psychiatrie: Psychische Belastung und Geschlechterunterschiede</w:t>
      </w:r>
    </w:p>
    <w:p>
      <w:r>
        <w:rPr>
          <w:i/>
          <w:color w:val="666666"/>
          <w:sz w:val="18"/>
        </w:rPr>
        <w:t>Eilinghoff L et al.  ·  Sci Rep  ·  28.07.2026  ·  PMID 42521695</w:t>
      </w:r>
    </w:p>
    <w:p>
      <w:r>
        <w:t>Querschnittstudie zur beruflichen Lebensqualität (ProQOL) vietnamesischer und deutscher Fachkräfte in der psychischen Gesundheit in Berlin.</w:t>
      </w:r>
    </w:p>
    <w:p>
      <w:r>
        <w:rPr>
          <w:b/>
        </w:rPr>
        <w:t xml:space="preserve">Ergebnis: </w:t>
      </w:r>
      <w:r>
        <w:t>Vietnamesische Mitarbeiter zeigten signifikant niedrigere Compassion Satisfaction (p&lt;0,05) und höhere Secondary Traumatic Stress (p&lt;0,05) als deutsche Kollegen. Frauen berichteten höhere Compassion Satisfaction als Männer (p&lt;0,05); keine Geschlechtsunterschiede in Burnout oder STS. Migration ist mit relevanten ProQOL-Unterschieden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Charité Berlin, deutsches Gesundheitswesen mit Migrationsfachkräften</w:t>
      </w:r>
    </w:p>
    <w:p>
      <w:r>
        <w:rPr>
          <w:color w:val="5A7D3A"/>
          <w:sz w:val="18"/>
        </w:rPr>
        <w:t>https://pubmed.ncbi.nlm.nih.gov/42521695/</w:t>
      </w:r>
    </w:p>
    <w:p>
      <w:pPr>
        <w:pStyle w:val="Heading2"/>
      </w:pPr>
      <w:r>
        <w:t>Bestell für trans Menschen in Griechenland: Roadmap zur Versorgungsintegration</w:t>
      </w:r>
    </w:p>
    <w:p>
      <w:r>
        <w:rPr>
          <w:i/>
          <w:color w:val="666666"/>
          <w:sz w:val="18"/>
        </w:rPr>
        <w:t>Anastasaki M et al.  ·  Front Public Health  ·  13.07.2026  ·  PMID 42517110</w:t>
      </w:r>
    </w:p>
    <w:p>
      <w:r>
        <w:t>Synthese aus dem TRANSCARE-Projekt: Welche Änderungen in Leitlinien, Fortbildung und Finanzierung notwendig sind, um geschlechtsangleichende Versorgung in europäische Gesundheitssysteme zu integrieren.</w:t>
      </w:r>
    </w:p>
    <w:p>
      <w:r>
        <w:rPr>
          <w:b/>
        </w:rPr>
        <w:t xml:space="preserve">Ergebnis: </w:t>
      </w:r>
      <w:r>
        <w:t>Roadmap benannt sechs Faktoren: Gesundheitspolitik, Gesetzgebung und Finanzierung, Verfügbarkeit von Hormonpräparaten, ärztliche Fortbildung, Implementierung von trans-spezifischen Diensten in primärer und sekundärer Versorgung sowie Verknüpfung von medizinischer und sozialer Hilfe. Pilotierung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europäischer Kontext, Modell für Adaptation in anderen Ländern</w:t>
      </w:r>
    </w:p>
    <w:p>
      <w:r>
        <w:rPr>
          <w:color w:val="5A7D3A"/>
          <w:sz w:val="18"/>
        </w:rPr>
        <w:t>https://pubmed.ncbi.nlm.nih.gov/42517110/</w:t>
      </w:r>
    </w:p>
    <w:p>
      <w:pPr>
        <w:pStyle w:val="Heading2"/>
      </w:pPr>
      <w:r>
        <w:t>Saunabaden und Geschlecht: Frauen erholen sich, Männer sind sozial – Schweden</w:t>
      </w:r>
    </w:p>
    <w:p>
      <w:r>
        <w:rPr>
          <w:i/>
          <w:color w:val="666666"/>
          <w:sz w:val="18"/>
        </w:rPr>
        <w:t>Engström Å et al.  ·  Int J Circumpolar Health  ·  31.12.2026  ·  PMID 42507891</w:t>
      </w:r>
    </w:p>
    <w:p>
      <w:r>
        <w:t>Deskriptive Querschnittstudie zu Motivationen und wahrgenommenen Gesundheitseffekten des Saunabades mit 588 schwedischen Regelmäßigen (384 Frauen, 204 Männer).</w:t>
      </w:r>
    </w:p>
    <w:p>
      <w:r>
        <w:rPr>
          <w:b/>
        </w:rPr>
        <w:t xml:space="preserve">Ergebnis: </w:t>
      </w:r>
      <w:r>
        <w:t>Frauen nannten psychische Erholung als Hauptmotivation (mental recovery), Männer soziale Kontakte (social togetherness). Frauen berichteten signifikant bessere Schlafqualität (p&lt;0,05) und weniger Körperschmerz (p&lt;0,05) nach Saunabaden; Männer zeigten diese Unterschiede nicht. Sauna wird als multidimensionale Gesundheitsförderung wahrgenommen.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kulturelle Besonderheit, Geschlechterdimorphismus in Wahrnehmung und biologischer Response</w:t>
      </w:r>
    </w:p>
    <w:p>
      <w:r>
        <w:rPr>
          <w:color w:val="5A7D3A"/>
          <w:sz w:val="18"/>
        </w:rPr>
        <w:t>https://pubmed.ncbi.nlm.nih.gov/42507891/</w:t>
      </w:r>
    </w:p>
    <w:p>
      <w:pPr>
        <w:pStyle w:val="Heading2"/>
      </w:pPr>
      <w:r>
        <w:t>Englischproficiency und Versorgung: Wer die Sprache nicht spricht, kommt nicht an Versorgung heran – England</w:t>
      </w:r>
    </w:p>
    <w:p>
      <w:r>
        <w:rPr>
          <w:i/>
          <w:color w:val="666666"/>
          <w:sz w:val="18"/>
        </w:rPr>
        <w:t>Davidson R et al.  ·  Health Place  ·  13.07.2026  ·  PMID 42442179</w:t>
      </w:r>
    </w:p>
    <w:p>
      <w:r>
        <w:t>Analyse von Routinedaten aus Hausarztpraxen und Kliniken in Nordwestlondon: Zusammenhang zwischen Englischkenntnissen und gesundheitlicher Versorgung sowie Outcomes.</w:t>
      </w:r>
    </w:p>
    <w:p>
      <w:r>
        <w:rPr>
          <w:b/>
        </w:rPr>
        <w:t xml:space="preserve">Ergebnis: </w:t>
      </w:r>
      <w:r>
        <w:t>Personen ohne Englischkenntnisse zeigten höhere altersbereinigt Prävalenzen kardiometabolischer Erkrankungen und höhere primär- und sekundärmedizinische Inanspruchnahme. Sprachbarrieren sind ein signifikanter Zugangshindernis; Sprachunterstützung ab Registrierung wird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(NHS), vergleichbare Dokumentationspflichten, anderer Zugang als Deutschland</w:t>
      </w:r>
    </w:p>
    <w:p>
      <w:r>
        <w:rPr>
          <w:color w:val="5A7D3A"/>
          <w:sz w:val="18"/>
        </w:rPr>
        <w:t>https://pubmed.ncbi.nlm.nih.gov/42442179/</w:t>
      </w:r>
    </w:p>
    <w:p>
      <w:pPr>
        <w:pStyle w:val="Heading2"/>
      </w:pPr>
      <w:r>
        <w:t>Frauen erholen sich besser von großen Magen-Darm-Tumoren – Männer zeigen höhere Sterblichkeit</w:t>
      </w:r>
    </w:p>
    <w:p>
      <w:r>
        <w:rPr>
          <w:i/>
          <w:color w:val="666666"/>
          <w:sz w:val="18"/>
        </w:rPr>
        <w:t>Mantke R et al.  ·  BJS Open  ·  03.07.2026  ·  PMID 42397348</w:t>
      </w:r>
    </w:p>
    <w:p>
      <w:r>
        <w:t>Vergleich von geschlechtsspezifischen Sterblichkeitsraten und Komplikationen nach kurativen Resektionen von Magen-Darm-Tumoren anhand deutscher Routinedaten 2010–2023.</w:t>
      </w:r>
    </w:p>
    <w:p>
      <w:r>
        <w:rPr>
          <w:b/>
        </w:rPr>
        <w:t xml:space="preserve">Ergebnis: </w:t>
      </w:r>
      <w:r>
        <w:t>Frauen hatten niedrigere adjustierte Odds für in-hospital-Mortalität (5,4 % vs. 6,3 %; aOR 0,82, 95%-KI 0,81–0,84) und Komplikationen (11,9 % vs. 12,4 %; aOR 0,92, 95%-KI 0,89–0,94) als Männer. Der Vorteil war konsistent über Tumorarten hinweg (außer Ösophagus). Ursachen sind nicht unmittelbar geklärt.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Klinikdaten und Diagnoseverfahren mit hoher Dokumentationsqualität</w:t>
      </w:r>
    </w:p>
    <w:p>
      <w:r>
        <w:rPr>
          <w:color w:val="5A7D3A"/>
          <w:sz w:val="18"/>
        </w:rPr>
        <w:t>https://pubmed.ncbi.nlm.nih.gov/42397348/</w:t>
      </w:r>
    </w:p>
    <w:p>
      <w:pPr>
        <w:pStyle w:val="Heading2"/>
      </w:pPr>
      <w:r>
        <w:t>Frauen im gebärfähigen Alter: 30 Jahre Wandel in Gesundheit, Lebensstil, Verhütung – Schweiz</w:t>
      </w:r>
    </w:p>
    <w:p>
      <w:r>
        <w:rPr>
          <w:i/>
          <w:color w:val="666666"/>
          <w:sz w:val="18"/>
        </w:rPr>
        <w:t>Calabretti I et al.  ·  Swiss Med Wkly  ·  17.06.2026  ·  PMID 42371870</w:t>
      </w:r>
    </w:p>
    <w:p>
      <w:r>
        <w:t>Analyse von sieben landesweiten Schweizer Gesundheitsumfragen (1992–2022): Trends in Gesundheit, Medikamentengebrauch, Lebensstil und Verhütungswahl bei 15- bis 49-jährigen Frauen.</w:t>
      </w:r>
    </w:p>
    <w:p>
      <w:r>
        <w:rPr>
          <w:b/>
        </w:rPr>
        <w:t xml:space="preserve">Ergebnis: </w:t>
      </w:r>
      <w:r>
        <w:t>Bildung stieg auf 35,9 % (Universitätsabschluss), Erwerbstätigenquote auf 82,6 %. BMI stieg von 21,7 auf 23,2. Psychische Gesundheitskonsultationen verdoppelten sich. Hormonelle Verhütung sank um 27,5 Punkte; IUP und Kondome stiegen. Antikonzeptiva-Mix verschob sich, ohne dass Gesamtabdeckung sank.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 Sozialversicherung mit Deutschland, verlässliche Bevölkerungsdaten</w:t>
      </w:r>
    </w:p>
    <w:p>
      <w:r>
        <w:rPr>
          <w:color w:val="5A7D3A"/>
          <w:sz w:val="18"/>
        </w:rPr>
        <w:t>https://pubmed.ncbi.nlm.nih.gov/42371870/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