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21.08.2026  |  3 Studien  |  gender.m-vf.de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Migrantenstatut beeinflusst Spezialistenzugang unterschiedlich nach Geschlecht in Spanien</w:t>
      </w:r>
    </w:p>
    <w:p>
      <w:r>
        <w:rPr>
          <w:i/>
          <w:color w:val="666666"/>
          <w:sz w:val="18"/>
        </w:rPr>
        <w:t>Lopez-de-Andres A et al.  ·  Front Public Health  ·  05.08.2026  ·  PMID 42621034</w:t>
      </w:r>
    </w:p>
    <w:p>
      <w:r>
        <w:t>Bevölkerungsbasierte Matched-Analyse der spanischen Gesundheitsumfrage 2023 zu Geschlechtsunterschieden im Versorgungszugang zwischen Migranten und im Land Geborenen (N=5.044).</w:t>
      </w:r>
    </w:p>
    <w:p>
      <w:r>
        <w:rPr>
          <w:b/>
        </w:rPr>
        <w:t xml:space="preserve">Ergebnis: </w:t>
      </w:r>
      <w:r>
        <w:t>Migranten zeigten weniger Facharztzugang, Psychologen, Physiotherapie und Zahnpflege. Nach voller Adjustierung blieb Migranten-Status nicht mit Primärversorgung assoziiert; Unterschiede bei Spezialistenbesuchen aber persistent (Männer aOR 1,28; Frauen aOR 1,31). Ungleichheiten in Prävention waren bei Frauen ausgeprägter. Soziodemografische Faktoren, Komorbiditäten und Lebensstil erklärten teilweise, nicht vollständig.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ähnliches Versicherungssystem wie Deutschland</w:t>
      </w:r>
    </w:p>
    <w:p>
      <w:r>
        <w:rPr>
          <w:color w:val="5A7D3A"/>
          <w:sz w:val="18"/>
        </w:rPr>
        <w:t>https://pubmed.ncbi.nlm.nih.gov/42621034/</w:t>
      </w:r>
    </w:p>
    <w:p>
      <w:pPr>
        <w:pStyle w:val="Heading2"/>
      </w:pPr>
      <w:r>
        <w:t>Kumulative soziale Benachteiligung wirkt stärker auf Männersterblichkeit, trifft junge Frauen früher</w:t>
      </w:r>
    </w:p>
    <w:p>
      <w:r>
        <w:rPr>
          <w:i/>
          <w:color w:val="666666"/>
          <w:sz w:val="18"/>
        </w:rPr>
        <w:t>Worede DT et al.  ·  BMC Public Health  ·  03.08.2026  ·  PMID 42547865</w:t>
      </w:r>
    </w:p>
    <w:p>
      <w:r>
        <w:t>28-Jahres-Längsschnittstudie des Sozio-Oekonomischen Panels (SOEP 1996–2023) zur Geschlechtsinteraktion zwischen sozialer Benachteiligung und Mortalität (N=112.006 Erwachsene, 660.480 Person-Wellen, 4.974 Todesfälle).</w:t>
      </w:r>
    </w:p>
    <w:p>
      <w:r>
        <w:rPr>
          <w:b/>
        </w:rPr>
        <w:t xml:space="preserve">Ergebnis: </w:t>
      </w:r>
      <w:r>
        <w:t>Kumulative soziale Benachteiligung erhöhte Mortalitätsrisiko bei beiden: Frauen +13% pro Jahr (HR 1,13; KI 1,07–1,19 bei 50 J.); Steigung steiler bei Männern (+15%, Interaktion HR 1,02; KI 1,01–1,04). Alter modulierte: Effekt attenuiert mit steigendem Alter, aber gradueller bei Männern. Life-stage-Effekte: Frauen 16–29 J. stärker (HR 1,34; KI 1,05–1,71); Männer 45+ J. (mid: 1,13; late: 1,14). Biologie versus Zugang nicht differenziert.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SOEP-Daten hoher Qualität</w:t>
      </w:r>
    </w:p>
    <w:p>
      <w:r>
        <w:rPr>
          <w:color w:val="5A7D3A"/>
          <w:sz w:val="18"/>
        </w:rPr>
        <w:t>https://pubmed.ncbi.nlm.nih.gov/42547865/</w:t>
      </w:r>
    </w:p>
    <w:p>
      <w:pPr>
        <w:pStyle w:val="Heading2"/>
      </w:pPr>
      <w:r>
        <w:t>Geschlechtsunterschiede in psychiatrischen Symptomprofilen verschwinden nicht beim Übergang in Erwachsenenversorgung</w:t>
      </w:r>
    </w:p>
    <w:p>
      <w:r>
        <w:rPr>
          <w:i/>
          <w:color w:val="666666"/>
          <w:sz w:val="18"/>
        </w:rPr>
        <w:t>D'Addazio M et al.  ·  BMJ Ment Health  ·  21.07.2026  ·  PMID 42481172</w:t>
      </w:r>
    </w:p>
    <w:p>
      <w:r>
        <w:t>Europäische Kohortenstudie (MILESTONE) mit 1.004 Adoleszenten (17–19 J.) über 24 Monate zum Geschlechtsunterschied in psychischen Symptomen und Funktionsfähigkeit beim CAMHS–AMHS-Übergang.</w:t>
      </w:r>
    </w:p>
    <w:p>
      <w:r>
        <w:rPr>
          <w:b/>
        </w:rPr>
        <w:t xml:space="preserve">Ergebnis: </w:t>
      </w:r>
      <w:r>
        <w:t>Männer zeigten durchgehend höhere Symptombelastung (insbes. Angststörung/ASD, ED/OCD, Schizophrenie) und schlechtere Funktionsfähigkeit. Frauen hatten bessere adaptive Outcomes. Unterschiede in Symptomprofilen persistierten über 2 Jahre; Männer stärker in externalisierten, Frauen in internalisierten Symptomen. Risiken weiblicher und männlicher Fehldiagnosen (ADHD/ASD bei Frauen, ED bei Männern) benannt.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Mehrländer-europäische Daten, vergleichbare Gesundheitssysteme</w:t>
      </w:r>
    </w:p>
    <w:p>
      <w:r>
        <w:rPr>
          <w:color w:val="5A7D3A"/>
          <w:sz w:val="18"/>
        </w:rPr>
        <w:t>https://pubmed.ncbi.nlm.nih.gov/42481172/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2026-08-21T06:00:00Z</dcterms:created>
  <dcterms:modified xsi:type="dcterms:W3CDTF">2026-08-21T06:00:00Z</dcterms:modified>
  <cp:category/>
</cp:coreProperties>
</file>