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Geschlecht und Gesundheit</w:t>
      </w:r>
    </w:p>
    <w:p>
      <w:r>
        <w:rPr>
          <w:i/>
          <w:color w:val="666666"/>
          <w:sz w:val="18"/>
        </w:rPr>
        <w:t>Stand: 21.08.2026  |  9 Studien  |  gender.m-vf.de</w:t>
      </w:r>
    </w:p>
    <w:p>
      <w:pPr>
        <w:pStyle w:val="Heading1"/>
      </w:pPr>
      <w:r>
        <w:t>Aufgenommen am 21.08.2026</w:t>
      </w:r>
    </w:p>
    <w:p>
      <w:pPr>
        <w:pStyle w:val="Heading2"/>
      </w:pPr>
      <w:r>
        <w:t>Migrantenstatut beeinflusst Spezialistenzugang unterschiedlich nach Geschlecht in Spanien</w:t>
      </w:r>
    </w:p>
    <w:p>
      <w:r>
        <w:rPr>
          <w:i/>
          <w:color w:val="666666"/>
          <w:sz w:val="18"/>
        </w:rPr>
        <w:t>Lopez-de-Andres A et al.  ·  Front Public Health  ·  05.08.2026  ·  PMID 42621034</w:t>
      </w:r>
    </w:p>
    <w:p>
      <w:r>
        <w:t>Bevölkerungsbasierte Matched-Analyse der spanischen Gesundheitsumfrage 2023 zu Geschlechtsunterschieden im Versorgungszugang zwischen Migranten und im Land Geborenen (N=5.044).</w:t>
      </w:r>
    </w:p>
    <w:p>
      <w:r>
        <w:rPr>
          <w:b/>
        </w:rPr>
        <w:t xml:space="preserve">Ergebnis: </w:t>
      </w:r>
      <w:r>
        <w:t>Migranten zeigten weniger Facharztzugang, Psychologen, Physiotherapie und Zahnpflege. Nach voller Adjustierung blieb Migranten-Status nicht mit Primärversorgung assoziiert; Unterschiede bei Spezialistenbesuchen aber persistent (Männer aOR 1,28; Frauen aOR 1,31). Ungleichheiten in Prävention waren bei Frauen ausgeprägter. Soziodemografische Faktoren, Komorbiditäten und Lebensstil erklärten teilweise, nicht vollständig.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ähnliches Versicherungssystem wie Deutschland</w:t>
      </w:r>
    </w:p>
    <w:p>
      <w:r>
        <w:rPr>
          <w:color w:val="5A7D3A"/>
          <w:sz w:val="18"/>
        </w:rPr>
        <w:t>https://pubmed.ncbi.nlm.nih.gov/42621034/</w:t>
      </w:r>
    </w:p>
    <w:p>
      <w:pPr>
        <w:pStyle w:val="Heading2"/>
      </w:pPr>
      <w:r>
        <w:t>Kumulative soziale Benachteiligung wirkt stärker auf Männersterblichkeit, trifft junge Frauen früher</w:t>
      </w:r>
    </w:p>
    <w:p>
      <w:r>
        <w:rPr>
          <w:i/>
          <w:color w:val="666666"/>
          <w:sz w:val="18"/>
        </w:rPr>
        <w:t>Worede DT et al.  ·  BMC Public Health  ·  03.08.2026  ·  PMID 42547865</w:t>
      </w:r>
    </w:p>
    <w:p>
      <w:r>
        <w:t>28-Jahres-Längsschnittstudie des Sozio-Oekonomischen Panels (SOEP 1996–2023) zur Geschlechtsinteraktion zwischen sozialer Benachteiligung und Mortalität (N=112.006 Erwachsene, 660.480 Person-Wellen, 4.974 Todesfälle).</w:t>
      </w:r>
    </w:p>
    <w:p>
      <w:r>
        <w:rPr>
          <w:b/>
        </w:rPr>
        <w:t xml:space="preserve">Ergebnis: </w:t>
      </w:r>
      <w:r>
        <w:t>Kumulative soziale Benachteiligung erhöhte Mortalitätsrisiko bei beiden: Frauen +13% pro Jahr (HR 1,13; KI 1,07–1,19 bei 50 J.); Steigung steiler bei Männern (+15%, Interaktion HR 1,02; KI 1,01–1,04). Alter modulierte: Effekt attenuiert mit steigendem Alter, aber gradueller bei Männern. Life-stage-Effekte: Frauen 16–29 J. stärker (HR 1,34; KI 1,05–1,71); Männer 45+ J. (mid: 1,13; late: 1,14). Biologie versus Zugang nicht differenziert.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SOEP-Daten hoher Qualität</w:t>
      </w:r>
    </w:p>
    <w:p>
      <w:r>
        <w:rPr>
          <w:color w:val="5A7D3A"/>
          <w:sz w:val="18"/>
        </w:rPr>
        <w:t>https://pubmed.ncbi.nlm.nih.gov/42547865/</w:t>
      </w:r>
    </w:p>
    <w:p>
      <w:pPr>
        <w:pStyle w:val="Heading2"/>
      </w:pPr>
      <w:r>
        <w:t>Geschlechtsunterschiede in psychiatrischen Symptomprofilen verschwinden nicht beim Übergang in Erwachsenenversorgung</w:t>
      </w:r>
    </w:p>
    <w:p>
      <w:r>
        <w:rPr>
          <w:i/>
          <w:color w:val="666666"/>
          <w:sz w:val="18"/>
        </w:rPr>
        <w:t>D'Addazio M et al.  ·  BMJ Ment Health  ·  21.07.2026  ·  PMID 42481172</w:t>
      </w:r>
    </w:p>
    <w:p>
      <w:r>
        <w:t>Europäische Kohortenstudie (MILESTONE) mit 1.004 Adoleszenten (17–19 J.) über 24 Monate zum Geschlechtsunterschied in psychischen Symptomen und Funktionsfähigkeit beim CAMHS–AMHS-Übergang.</w:t>
      </w:r>
    </w:p>
    <w:p>
      <w:r>
        <w:rPr>
          <w:b/>
        </w:rPr>
        <w:t xml:space="preserve">Ergebnis: </w:t>
      </w:r>
      <w:r>
        <w:t>Männer zeigten durchgehend höhere Symptombelastung (insbes. Angststörung/ASD, ED/OCD, Schizophrenie) und schlechtere Funktionsfähigkeit. Frauen hatten bessere adaptive Outcomes. Unterschiede in Symptomprofilen persistierten über 2 Jahre; Männer stärker in externalisierten, Frauen in internalisierten Symptomen. Risiken weiblicher und männlicher Fehldiagnosen (ADHD/ASD bei Frauen, ED bei Männern) benannt.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Mehrländer-europäische Daten, vergleichbare Gesundheitssysteme</w:t>
      </w:r>
    </w:p>
    <w:p>
      <w:r>
        <w:rPr>
          <w:color w:val="5A7D3A"/>
          <w:sz w:val="18"/>
        </w:rPr>
        <w:t>https://pubmed.ncbi.nlm.nih.gov/42481172/</w:t>
      </w:r>
    </w:p>
    <w:p>
      <w:pPr>
        <w:pStyle w:val="Heading1"/>
      </w:pPr>
      <w:r>
        <w:t>Aufgenommen am 20.08.2026</w:t>
      </w:r>
    </w:p>
    <w:p>
      <w:pPr>
        <w:pStyle w:val="Heading2"/>
      </w:pPr>
      <w:r>
        <w:t>Hirngefäßverschluss nach Subarachnoidalblutung: Frauen mit erhöhter Sterblichkeit</w:t>
      </w:r>
    </w:p>
    <w:p>
      <w:r>
        <w:rPr>
          <w:i/>
          <w:color w:val="666666"/>
          <w:sz w:val="18"/>
        </w:rPr>
        <w:t>Janssen H et al.  ·  Eur Stroke J  ·  05.08.2026  ·  PMID 42593950</w:t>
      </w:r>
    </w:p>
    <w:p>
      <w:r>
        <w:t>Britische Bevölkerungskohortenstudie an 990 Patienten mit aneurysmatischer Subarachnoidalblutung über Routinedaten der National Death Registries, zur Klärung des Geschlechtergefälles in der 90-Tages-Sterblichkeit.</w:t>
      </w:r>
    </w:p>
    <w:p>
      <w:r>
        <w:rPr>
          <w:b/>
        </w:rPr>
        <w:t xml:space="preserve">Ergebnis: </w:t>
      </w:r>
      <w:r>
        <w:t>Frauen zeigten erhöhte unadjustierte 90-Tages-Sterblichkeit (33,8% vs. 27,5%, OR 1,34; 95% KI: 1,01–1,78). Nach Anpassung für Alter und Baseline-Komorbiditäten (Hypertonie, Rauchen) reduzierte sich der Unterschied deutlich (HR 1,15; 95% KI: 0,90–1,49). Der Geschlechterunterschied ist teilweise durch höheres Alter und ungünstigere Risikofaktorenprofile bei Frauen erklärbar.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UK-Daten mit ähnlich guten Registrierungssystemen wie Deutschland; biologische und Zugangsaspekte klären sich auf.</w:t>
      </w:r>
    </w:p>
    <w:p>
      <w:r>
        <w:rPr>
          <w:color w:val="5A7D3A"/>
          <w:sz w:val="18"/>
        </w:rPr>
        <w:t>https://pubmed.ncbi.nlm.nih.gov/42593950/</w:t>
      </w:r>
    </w:p>
    <w:p>
      <w:pPr>
        <w:pStyle w:val="Heading2"/>
      </w:pPr>
      <w:r>
        <w:t>Resistin und Rauchen als Depressionsrisiko: Geschlechtsspezifische Wechselwirkung</w:t>
      </w:r>
    </w:p>
    <w:p>
      <w:r>
        <w:rPr>
          <w:i/>
          <w:color w:val="666666"/>
          <w:sz w:val="18"/>
        </w:rPr>
        <w:t>von Zimmermann C et al.  ·  BMC Psychiatry  ·  29.07.2026  ·  PMID 42552525</w:t>
      </w:r>
    </w:p>
    <w:p>
      <w:r>
        <w:t>Deutsche Querschnittstudie an 379 Personen mit ausgeglichenem Geschlechterverhältnis zur Prüfung, ob Resistin und Rauchen mit Depressionsschwere geschlechtsabhängig assoziiert sind.</w:t>
      </w:r>
    </w:p>
    <w:p>
      <w:r>
        <w:rPr>
          <w:b/>
        </w:rPr>
        <w:t xml:space="preserve">Ergebnis: </w:t>
      </w:r>
      <w:r>
        <w:t>Höhere Resistin-Konzentrationen erhöhten das Depressionsrisiko geschlechts- und rauchabhängig, mit stärkster Wirkung bei rauchenden und Ex-raucherinnen (weibliches Rauchen als stärkster Effektmodifikator). Rauchen und Adipositas sind bei Frauen stärkere Depressionsrisikofaktoren als bei Männern.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Studie, AWMF-Leitlinien zur Depression noch wenig geschlechtsdifferenziert – praktische Signifikanz für Screening und Prävention unklar.</w:t>
      </w:r>
    </w:p>
    <w:p>
      <w:r>
        <w:rPr>
          <w:color w:val="5A7D3A"/>
          <w:sz w:val="18"/>
        </w:rPr>
        <w:t>https://pubmed.ncbi.nlm.nih.gov/42552525/</w:t>
      </w:r>
    </w:p>
    <w:p>
      <w:pPr>
        <w:pStyle w:val="Heading2"/>
      </w:pPr>
      <w:r>
        <w:t>Kopfschmerz in der Notaufnahme: Unterschied in Triage und Diagnostik bei Männern und Frauen</w:t>
      </w:r>
    </w:p>
    <w:p>
      <w:r>
        <w:rPr>
          <w:i/>
          <w:color w:val="666666"/>
          <w:sz w:val="18"/>
        </w:rPr>
        <w:t>Angerhöfer C et al.  ·  Cephalalgia  ·  22.07.2026  ·  PMID 42484557</w:t>
      </w:r>
    </w:p>
    <w:p>
      <w:r>
        <w:t>Berliner Universitätsklinik beobachtete 1.825 Kopfschmerzpatienten (61,9% Frauen) über zwei Jahre, um Unterschiede in Triage-Kategorie, diagnostischen Verfahren und Diagnosen zu dokumentieren.</w:t>
      </w:r>
    </w:p>
    <w:p>
      <w:r>
        <w:rPr>
          <w:b/>
        </w:rPr>
        <w:t xml:space="preserve">Ergebnis: </w:t>
      </w:r>
      <w:r>
        <w:t>Frauen erhielten häufiger Triage-Kategorien mit höherer Dringlichkeit; Männer wiesen jedoch höhere Quote an ernsthaften Sekundärdiagnosen auf (OR 1,54; 95% KI: 1,08–2,19). Männer erhielten seltener cMRT (aOR 0,48; 95% KI: 0,26–0,90). Frauen bekamen häufiger wiederholte Analgetika und Antiemetika. Kein Hinweis auf systematische Verzögerungen der Versorgung.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Primärdaten, Charité-System; Triageverzerrung (Frauen überschätzt, Männer unterschätzt) zeigt Versorgungsungleichheit durch Attribution, nicht biologisch erklärt.</w:t>
      </w:r>
    </w:p>
    <w:p>
      <w:r>
        <w:rPr>
          <w:color w:val="5A7D3A"/>
          <w:sz w:val="18"/>
        </w:rPr>
        <w:t>https://pubmed.ncbi.nlm.nih.gov/42484557/</w:t>
      </w:r>
    </w:p>
    <w:p>
      <w:pPr>
        <w:pStyle w:val="Heading2"/>
      </w:pPr>
      <w:r>
        <w:t>Spondylarthritis: Frauen mit stärkerer Funktionsverschlechterung über 17 Jahre</w:t>
      </w:r>
    </w:p>
    <w:p>
      <w:r>
        <w:rPr>
          <w:i/>
          <w:color w:val="666666"/>
          <w:sz w:val="18"/>
        </w:rPr>
        <w:t>Moldovan DMM et al.  ·  RMD Open  ·  15.07.2026  ·  PMID 42457212</w:t>
      </w:r>
    </w:p>
    <w:p>
      <w:r>
        <w:t>Spanische Longitudinalstudie REGISPON-3 mit 411 Spondylarthritispatienten (2004–2024) zum Vergleich geschlechtsspezifischer funktionaler Verschlechterung und Arbeitsunfähigkeit.</w:t>
      </w:r>
    </w:p>
    <w:p>
      <w:r>
        <w:rPr>
          <w:b/>
        </w:rPr>
        <w:t xml:space="preserve">Ergebnis: </w:t>
      </w:r>
      <w:r>
        <w:t>Nach 17 Jahren: Frauen zeigten signifikant stärkere Funktionsverschlechterung (ΔBASFI 1,47±2,81 vs. 0,38±2,57, p&lt;0,001), während permanente Arbeitsunfähigkeit ähnlich blieb (27,1% vs. 32,1%, p=0,31). Der Zusammenhang zwischen bDMARD-Exposition und Funktionsverschlechterung durch CRP-Vermittlung war bei Männern, nicht bei Frauen signifikant (sex-signifikante Interaktion).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ähnliche Sozialversicherung wie Deutschland; Befund deutet auf biologische Geschlechterdifferenz in Entzündungsmodulation hin, nicht auf Zugangsunterschiede.</w:t>
      </w:r>
    </w:p>
    <w:p>
      <w:r>
        <w:rPr>
          <w:color w:val="5A7D3A"/>
          <w:sz w:val="18"/>
        </w:rPr>
        <w:t>https://pubmed.ncbi.nlm.nih.gov/42457212/</w:t>
      </w:r>
    </w:p>
    <w:p>
      <w:pPr>
        <w:pStyle w:val="Heading2"/>
      </w:pPr>
      <w:r>
        <w:t>Krebs in der Schweiz: Frauen berichten schlechtere Versorgungserfahrungen als Männer</w:t>
      </w:r>
    </w:p>
    <w:p>
      <w:r>
        <w:rPr>
          <w:i/>
          <w:color w:val="666666"/>
          <w:sz w:val="18"/>
        </w:rPr>
        <w:t>Pernoud A et al.  ·  BMJ Open  ·  13.07.2026  ·  PMID 42442810</w:t>
      </w:r>
    </w:p>
    <w:p>
      <w:r>
        <w:t>Schweizer Multicenterstudie mit 4.408 Krebspatienten (non-sex-specific cancers) zu geschlechtsspezifischen Unterschieden in Patientenerfahrung über den gesamten Versorgungspfad.</w:t>
      </w:r>
    </w:p>
    <w:p>
      <w:r>
        <w:rPr>
          <w:b/>
        </w:rPr>
        <w:t xml:space="preserve">Ergebnis: </w:t>
      </w:r>
      <w:r>
        <w:t>Frauen bewerteten Gesamtbehandlung niedriger (8,9 vs. 9,1, p&lt;0,001; aOR für hohes Rating 0,74; 95% KI: 0,62–0,87). Frauen berichteten geringere Wahrscheinlichkeit für Therapieplan (aOR 0,69; 95% KI: 0,59–0,82) und unzureichende Information vor Operation (aOR 0,42; 95% KI: 0,27–0,67). Konsistente Muster: Frauen erhielten weniger Kommunikation, Information und Unterstützung; Männer mehr unnötige Testwiederholungen.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Schweiz, vergleichbare Sozialversicherung wie Deutschland; zeigt systematischen Zugangs- und Kommunikationsunterschied, nicht biologisch bedingt – direkt verbesserbar durch Prozessreform.</w:t>
      </w:r>
    </w:p>
    <w:p>
      <w:r>
        <w:rPr>
          <w:color w:val="5A7D3A"/>
          <w:sz w:val="18"/>
        </w:rPr>
        <w:t>https://pubmed.ncbi.nlm.nih.gov/42442810/</w:t>
      </w:r>
    </w:p>
    <w:p>
      <w:pPr>
        <w:pStyle w:val="Heading2"/>
      </w:pPr>
      <w:r>
        <w:t>Depression in 30 europäischen Ländern: Geschlecht, Migration und Bildung schlagen Depressionsrisiko additiv</w:t>
      </w:r>
    </w:p>
    <w:p>
      <w:r>
        <w:rPr>
          <w:i/>
          <w:color w:val="666666"/>
          <w:sz w:val="18"/>
        </w:rPr>
        <w:t>von dem Knesebeck O et al.  ·  BMC Public Health  ·  10.07.2026  ·  PMID 42432638</w:t>
      </w:r>
    </w:p>
    <w:p>
      <w:r>
        <w:t>Querschnittsanalyse der European Social Survey (Round 11, n=50.116) zu intersektionalen Ungleichheiten in depressiven Symptomen nach Geschlecht, Migrationsstatus und Bildung mittels MAIHDA.</w:t>
      </w:r>
    </w:p>
    <w:p>
      <w:r>
        <w:rPr>
          <w:b/>
        </w:rPr>
        <w:t xml:space="preserve">Ergebnis: </w:t>
      </w:r>
      <w:r>
        <w:t>Frauen und Personen mit niedriger Bildung zeigten signifikant mehr depressive Symptome über alle Länder. Unterschied zwischen höchster (Frauen + Migrationshintergrund + niedrige Bildung: HR 1,34; 95% KI: 1,05–1,71) und niedrigster Risikostrata (Männer + hohe Bildung + kein Migrationshintergrund) war additiv, nicht interaktiv. Geschlecht und Bildung trugen am stärksten bei.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30 europäische Länder einschließlich Deutschland; Routine-Survey mit Selbstauskünften; zeigt Zugangs- und Attributionsmuster, nicht primär biologische Unterschiede.</w:t>
      </w:r>
    </w:p>
    <w:p>
      <w:r>
        <w:rPr>
          <w:color w:val="5A7D3A"/>
          <w:sz w:val="18"/>
        </w:rPr>
        <w:t>https://pubmed.ncbi.nlm.nih.gov/42432638/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Geschlecht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2026-08-21T06:00:00Z</dcterms:created>
  <dcterms:modified xsi:type="dcterms:W3CDTF">2026-08-21T06:00:00Z</dcterms:modified>
  <cp:category/>
</cp:coreProperties>
</file>