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Geschlechtersensible Medizin</w:t>
      </w:r>
    </w:p>
    <w:p>
      <w:r>
        <w:rPr>
          <w:i/>
          <w:color w:val="666666"/>
          <w:sz w:val="18"/>
        </w:rPr>
        <w:t>Stand: 31.10.2026  |  6 Studien  |  gender.m-vf.de</w:t>
      </w:r>
    </w:p>
    <w:p>
      <w:pPr>
        <w:pStyle w:val="Heading1"/>
      </w:pPr>
      <w:r>
        <w:t>Aufgenommen am 31.10.2026</w:t>
      </w:r>
    </w:p>
    <w:p>
      <w:pPr>
        <w:pStyle w:val="Heading2"/>
      </w:pPr>
      <w:r>
        <w:t>Depression und Angst bei Jugendlichen: Emotionsregulation wirkt bei Mädchen stärker</w:t>
      </w:r>
    </w:p>
    <w:p>
      <w:r>
        <w:rPr>
          <w:i/>
          <w:color w:val="666666"/>
          <w:sz w:val="18"/>
        </w:rPr>
        <w:t>Liu D et al.  ·  Depress Anxiety  ·  29.10.2026  ·  PMID 42959527</w:t>
      </w:r>
    </w:p>
    <w:p>
      <w:r>
        <w:t>Zeitlich variierte Effektmodellierung an 58.622 chinesischen Schülern der Klassen 4–12 zur Frage, ob Emotionsregulation (kognitives Umdenken vs. Unterdrückung) den Zusammenhang zwischen Entwicklungsphase und komorbider Depression-Angst geschlechtsspezifisch moderiert.</w:t>
      </w:r>
    </w:p>
    <w:p>
      <w:r>
        <w:rPr>
          <w:b/>
        </w:rPr>
        <w:t xml:space="preserve">Ergebnis: </w:t>
      </w:r>
      <w:r>
        <w:t>Insgesamt stieg das Komorbiditätsrisiko über die Adoleszenz an (Angst-OR 1,67, Depressions-OR 1,68). Bei Mädchen zeigten sich höhere Gesamtrisiken und ein Angst-Peak in Klasse 8 (OR 1,74). Kognitives Umdenken schützte nur vor Angst (OR 0,99), nicht vor Depression. Emotionales Unterdrücken war maladaptiv, besonders bei Mädchen in der Mittelstufe. Die Ergebnisse zeigen, dass Emotionsregulation bei Mädchen ein stärkerer Moderator ist als bei Jungen.</w:t>
      </w:r>
    </w:p>
    <w:p>
      <w:r>
        <w:rPr>
          <w:b/>
          <w:sz w:val="19"/>
        </w:rPr>
        <w:t xml:space="preserve">Übertragbarkeit: </w:t>
      </w:r>
      <w:r>
        <w:rPr>
          <w:sz w:val="19"/>
        </w:rPr>
        <w:t>China, Schulalter und entwicklungspsychologische Muster ähnlich Deutschland, aber Screening-Instrumente als Proxy für Versorgung zu interpretieren</w:t>
      </w:r>
    </w:p>
    <w:p>
      <w:r>
        <w:rPr>
          <w:color w:val="5A7D3A"/>
          <w:sz w:val="18"/>
        </w:rPr>
        <w:t>https://pubmed.ncbi.nlm.nih.gov/42959527/</w:t>
      </w:r>
    </w:p>
    <w:p>
      <w:pPr>
        <w:pStyle w:val="Heading2"/>
      </w:pPr>
      <w:r>
        <w:t>Insulinresistenz bei Prädiabetes: Viszerales Fett wirkt bei Männern stärker</w:t>
      </w:r>
    </w:p>
    <w:p>
      <w:r>
        <w:rPr>
          <w:i/>
          <w:color w:val="666666"/>
          <w:sz w:val="18"/>
        </w:rPr>
        <w:t>Wang Z et al.  ·  Front Endocrinol (Lausanne)  ·  15.10.2026  ·  PMID 42959200</w:t>
      </w:r>
    </w:p>
    <w:p>
      <w:r>
        <w:t>Querschnittsstudie an 167 chinesischen Patienten mit Prädiabetes zur Frage, wie Muskel-Fett-Phänotypen die Insulinresistenz (HOMA-IR) beeinflussen und ob TyG-WHtR ein geschlechtsspezifisches Screening-Tool sein kann.</w:t>
      </w:r>
    </w:p>
    <w:p>
      <w:r>
        <w:rPr>
          <w:b/>
        </w:rPr>
        <w:t xml:space="preserve">Ergebnis: </w:t>
      </w:r>
      <w:r>
        <w:t>Hochmuskel/hochfett (HM/HF) war der stärkste unabhängige Prädiktor für HOMA-IR (B = 3,26, p &lt; 0,001). Der HM/HF-Effekt war bei Männern stärker (B = 5,66) als bei Frauen und verschwand bei älteren Männern (≥60 Jahre). Niedrigmuskel/niedrigfett war nur bei Frauen protektiv. Ein kombiniertes Nomogramm mit TyG-WHtR + HDL-C erreichte AUC 0,815. Die biologisch-metabolische Wirkung von Körperzusammensetzung ist geschlechtsspezifisch.</w:t>
      </w:r>
    </w:p>
    <w:p>
      <w:r>
        <w:rPr>
          <w:b/>
          <w:sz w:val="19"/>
        </w:rPr>
        <w:t xml:space="preserve">Übertragbarkeit: </w:t>
      </w:r>
      <w:r>
        <w:rPr>
          <w:sz w:val="19"/>
        </w:rPr>
        <w:t>China, aber Stoffwechsel-Biomarker und viszerale Adipositas sind biologisch universal; externe Validierung erforderlich</w:t>
      </w:r>
    </w:p>
    <w:p>
      <w:r>
        <w:rPr>
          <w:color w:val="5A7D3A"/>
          <w:sz w:val="18"/>
        </w:rPr>
        <w:t>https://pubmed.ncbi.nlm.nih.gov/42959200/</w:t>
      </w:r>
    </w:p>
    <w:p>
      <w:pPr>
        <w:pStyle w:val="Heading2"/>
      </w:pPr>
      <w:r>
        <w:t>Führungsaspirationen in der Inneren Medizin: Frauen berichten mehr Diskriminierung als Hindernis</w:t>
      </w:r>
    </w:p>
    <w:p>
      <w:r>
        <w:rPr>
          <w:i/>
          <w:color w:val="666666"/>
          <w:sz w:val="18"/>
        </w:rPr>
        <w:t>Moor J et al.  ·  BMC Med Educ  ·  01.08.2026  ·  PMID 42958271</w:t>
      </w:r>
    </w:p>
    <w:p>
      <w:r>
        <w:t>Querschnittsstudie von 624 Schweizer Hausärztinnen und Hausärzten zur Frage, welche Faktoren Karriereambitionen zum Oberarzt/zur Oberärztin vorhersagen.</w:t>
      </w:r>
    </w:p>
    <w:p>
      <w:r>
        <w:rPr>
          <w:b/>
        </w:rPr>
        <w:t xml:space="preserve">Ergebnis: </w:t>
      </w:r>
      <w:r>
        <w:t>Bei gleichem Karrierewunsch zu Studienbeginn zeigten Männer später höhere Aspirationen (17 % vs. 11 %, p = 0,03). Bei Frauen waren Geschlechtsdiskriminierung und negative Haltung des Vorgesetzten zur Elternschaft signifikant mit höheren Aspirationen verknüpft (OR 7,48, 95%-KI 1,71–39,0), bei Männern dagegen ein besseres psychisches Wohlbefinden (OR 0,12, 95%-KI 0,02–0,50). Der Unterschied liegt an Arbeitsbedingungen und Diskriminierungserfahrungen, nicht an biologischen Faktoren.</w:t>
      </w:r>
    </w:p>
    <w:p>
      <w:r>
        <w:rPr>
          <w:b/>
          <w:sz w:val="19"/>
        </w:rPr>
        <w:t xml:space="preserve">Übertragbarkeit: </w:t>
      </w:r>
      <w:r>
        <w:rPr>
          <w:sz w:val="19"/>
        </w:rPr>
        <w:t>Schweiz, vergleichbare Sozialversicherung und akademische Strukturen wie Deutschland</w:t>
      </w:r>
    </w:p>
    <w:p>
      <w:r>
        <w:rPr>
          <w:color w:val="5A7D3A"/>
          <w:sz w:val="18"/>
        </w:rPr>
        <w:t>https://pubmed.ncbi.nlm.nih.gov/42958271/</w:t>
      </w:r>
    </w:p>
    <w:p>
      <w:pPr>
        <w:pStyle w:val="Heading2"/>
      </w:pPr>
      <w:r>
        <w:t>Harnverhalt nach Nierenbiopsie: Geschlechtsspezifische Vorhersagemodelle</w:t>
      </w:r>
    </w:p>
    <w:p>
      <w:r>
        <w:rPr>
          <w:i/>
          <w:color w:val="666666"/>
          <w:sz w:val="18"/>
        </w:rPr>
        <w:t>Sang X et al.  ·  BMC Urol  ·  04.08.2026  ·  PMID 42958261</w:t>
      </w:r>
    </w:p>
    <w:p>
      <w:r>
        <w:t>Retrospektive Entwicklung und Validierung von Nomogrammen zur Vorhersage eines Harnverhalts (Katheterisierung erforderlich) während der obligaten Bettruhe nach perkutaner Nierenbiopsie bei 556 erwachsenen Patienten in China.</w:t>
      </w:r>
    </w:p>
    <w:p>
      <w:r>
        <w:rPr>
          <w:b/>
        </w:rPr>
        <w:t xml:space="preserve">Ergebnis: </w:t>
      </w:r>
      <w:r>
        <w:t>Beim Mann zeigten sich signifikante Prädiktoren: BPH (benigne Prostatahyperplasie), Diabetes und fehlende präoperative Blasentraining. Bei der Frau: Hypertonie, Harnverhalt-Anamnese und fehlende Vorbereitung. AUC (Area Under Curve) 0,793 für Männer, 0,748 für Frauen. Das Geschlecht beeinflusst Risikofaktoren und Präventionsmassnahmen, nicht die biologische Anfälligkeit per se.</w:t>
      </w:r>
    </w:p>
    <w:p>
      <w:r>
        <w:rPr>
          <w:b/>
          <w:sz w:val="19"/>
        </w:rPr>
        <w:t xml:space="preserve">Übertragbarkeit: </w:t>
      </w:r>
      <w:r>
        <w:rPr>
          <w:sz w:val="19"/>
        </w:rPr>
        <w:t>China, aber Outcome-Definition und Risikofaktoren übertragbar auf europäische Verhältnisse</w:t>
      </w:r>
    </w:p>
    <w:p>
      <w:r>
        <w:rPr>
          <w:color w:val="5A7D3A"/>
          <w:sz w:val="18"/>
        </w:rPr>
        <w:t>https://pubmed.ncbi.nlm.nih.gov/42958261/</w:t>
      </w:r>
    </w:p>
    <w:p>
      <w:pPr>
        <w:pStyle w:val="Heading2"/>
      </w:pPr>
      <w:r>
        <w:t>Depression mit Schlafstörung: REM-Schlaf und Lymphozyten unterscheiden sich nach Geschlecht</w:t>
      </w:r>
    </w:p>
    <w:p>
      <w:r>
        <w:rPr>
          <w:i/>
          <w:color w:val="666666"/>
          <w:sz w:val="18"/>
        </w:rPr>
        <w:t>Wang Q et al.  ·  BMC Psychiatry  ·  31.07.2026  ·  PMID 42958161</w:t>
      </w:r>
    </w:p>
    <w:p>
      <w:r>
        <w:t>Querschnittsstudie an 126 Patienten mit Major Depression und Schlafstörungen (43 Männer, 83 Frauen) mit Polysomnografie und Blutanalyse zur Frage, ob Schlafarchitektur und Immunmarker (CBC) geschlechtsspezifisch assoziiert sind.</w:t>
      </w:r>
    </w:p>
    <w:p>
      <w:r>
        <w:rPr>
          <w:b/>
        </w:rPr>
        <w:t xml:space="preserve">Ergebnis: </w:t>
      </w:r>
      <w:r>
        <w:t>Frauen hatten längere REM-Latenz und mehr N2-Schlaf, Männer höhere Apnoe-Hypopnoe-Index. Signifikante CBC-Korrelationen traten überwiegend bei Männern auf: Lymphozytenzahl korrelierte mit Gesamtschlafzeit, REM-Dauer und N1/N2-Anteil. Sex-×-Lymphozyten-Interaktionen blieben nach FDR-Korrektur signifikant für die nächtliche Bewegungsaktivität und REM-Messungen. Das biologische Regelsystem Schlaf-Immunität ist geschlechtsdimorphisch.</w:t>
      </w:r>
    </w:p>
    <w:p>
      <w:r>
        <w:rPr>
          <w:b/>
          <w:sz w:val="19"/>
        </w:rPr>
        <w:t xml:space="preserve">Übertragbarkeit: </w:t>
      </w:r>
      <w:r>
        <w:rPr>
          <w:sz w:val="19"/>
        </w:rPr>
        <w:t>China, aber Schlafarchitek und Immunchemie sind biologisch universal; Sample klein</w:t>
      </w:r>
    </w:p>
    <w:p>
      <w:r>
        <w:rPr>
          <w:color w:val="5A7D3A"/>
          <w:sz w:val="18"/>
        </w:rPr>
        <w:t>https://pubmed.ncbi.nlm.nih.gov/42958161/</w:t>
      </w:r>
    </w:p>
    <w:p>
      <w:pPr>
        <w:pStyle w:val="Heading2"/>
      </w:pPr>
      <w:r>
        <w:t>Fußarthrose bei Frauen: Hormonale Faktoren und anatomische Unterschiede</w:t>
      </w:r>
    </w:p>
    <w:p>
      <w:r>
        <w:rPr>
          <w:i/>
          <w:color w:val="666666"/>
          <w:sz w:val="18"/>
        </w:rPr>
        <w:t>Hynes K et al.  ·  Foot Ankle Clin  ·  Dez. 2026  ·  PMID 42951406</w:t>
      </w:r>
    </w:p>
    <w:p>
      <w:r>
        <w:t>Narrative Übersichtsarbeit zur Frage, wie biologische, hormonale und anatomische Geschlechtsunterschiede die Häufigkeit, Schwere und Behandlungsansprache von Arthrose im Fuß und Sprunggelenk beeinflussen.</w:t>
      </w:r>
    </w:p>
    <w:p>
      <w:r>
        <w:rPr>
          <w:b/>
        </w:rPr>
        <w:t xml:space="preserve">Ergebnis: </w:t>
      </w:r>
      <w:r>
        <w:t>Frauen haben höhere Prävalenz und Schweregrad; die Autoren identifizieren biologische Faktoren (Kollagenstruktur, Ligamentlaxität durch Östrogen/Relaxin), anatomische Unterschiede (Fußform, Gewichtsverteilung) und Verhaltensunterschiede als Ursachen. Konkrete Zahlen zur Epidemiologie werden in der Übersicht nicht genannt.</w:t>
      </w:r>
    </w:p>
    <w:p>
      <w:r>
        <w:rPr>
          <w:b/>
          <w:sz w:val="19"/>
        </w:rPr>
        <w:t xml:space="preserve">Übertragbarkeit: </w:t>
      </w:r>
      <w:r>
        <w:rPr>
          <w:sz w:val="19"/>
        </w:rPr>
        <w:t>USA und Deutschland (Co-Autorin), aber reine Übersichtsarbeit ohne neue Daten oder messbare Outcome-Unterschiede</w:t>
      </w:r>
    </w:p>
    <w:p>
      <w:r>
        <w:rPr>
          <w:color w:val="5A7D3A"/>
          <w:sz w:val="18"/>
        </w:rPr>
        <w:t>https://pubmed.ncbi.nlm.nih.gov/42951406/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Geschlechtersensible Medizin</dc:title>
  <dc:subject/>
  <dc:creator>Monitor Versorgungsforschung</dc:creator>
  <cp:keywords/>
  <dc:description>generated by python-docx</dc:description>
  <cp:lastModifiedBy/>
  <cp:revision>1</cp:revision>
  <dcterms:created xsi:type="dcterms:W3CDTF">2026-10-31T06:00:00Z</dcterms:created>
  <dcterms:modified xsi:type="dcterms:W3CDTF">2026-10-31T06:00:00Z</dcterms:modified>
  <cp:category/>
</cp:coreProperties>
</file>