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28.09.2026  |  6 Studien  |  gender.m-vf.de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Übergewichtsdisparitäten bei Kindern: Ethnische Segregation und Schulumgebung bestimmen Unterschiede</w:t>
      </w:r>
    </w:p>
    <w:p>
      <w:r>
        <w:rPr>
          <w:i/>
          <w:color w:val="666666"/>
          <w:sz w:val="18"/>
        </w:rPr>
        <w:t>Miller S et al.  ·  Pediatr Obes  ·  Okt. 2026  ·  PMID 42802009</w:t>
      </w:r>
    </w:p>
    <w:p>
      <w:r>
        <w:t>Beobachtungsstudie mit Messungen des Übergewichts bei kalifornischen Schulkindern 2018/19, Analyse nach ethnischer Schulzusammensetzung und Nachbarschaftseinkommen.</w:t>
      </w:r>
    </w:p>
    <w:p>
      <w:r>
        <w:rPr>
          <w:b/>
        </w:rPr>
        <w:t xml:space="preserve">Ergebnis: </w:t>
      </w:r>
      <w:r>
        <w:t>In integrierten einkommensschwachen Schulen betrug die Disparität zwischen Schwarzen und Weißen Kindern 3 %, zwischen Latinos und Weißen 10 %. In integrierten wohlhabenden Schulen waren es 8 % bzw. 13 %. In segregierten einkommensschwachen Schulen: 11 % bzw. 14 %; in segregierten wohlhabenden Schulen: 22 % bzw. 26 %. Die größte Disparität (23 % bzw. 28 %) lag zwischen Minderheitskindern in segregierten armen und Weißen Kindern in segregierten wohlhabenden Schulen. Dies zeigt: Unterschiede sind nicht biologisch, sondern durch Zugang zu Ressourcen und strukturelle Segregation bestimmt.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soziologische Mechanik (Segregation und Armut als Determinanten) übertragbar auf Deutschland</w:t>
      </w:r>
    </w:p>
    <w:p>
      <w:r>
        <w:rPr>
          <w:color w:val="5A7D3A"/>
          <w:sz w:val="18"/>
        </w:rPr>
        <w:t>https://pubmed.ncbi.nlm.nih.gov/42802009/</w:t>
      </w:r>
    </w:p>
    <w:p>
      <w:pPr>
        <w:pStyle w:val="Heading2"/>
      </w:pPr>
      <w:r>
        <w:t>Geschlechtsangleichende Penisprothetik: Lernkurve und Revisionsergebnisse über 5 Jahre</w:t>
      </w:r>
    </w:p>
    <w:p>
      <w:r>
        <w:rPr>
          <w:i/>
          <w:color w:val="666666"/>
          <w:sz w:val="18"/>
        </w:rPr>
        <w:t>Gobbo A et al.  ·  J Sex Med  ·  14.09.2026  ·  PMID 42801789</w:t>
      </w:r>
    </w:p>
    <w:p>
      <w:r>
        <w:t>Retrospektive Analyse von 473 Patienten mit geschlechtsangleichender Penisprothesenimplantation zur Erfassung der institutionellen Lernkurve und ihrer Auswirkung auf die Ergebnisqualität.</w:t>
      </w:r>
    </w:p>
    <w:p>
      <w:r>
        <w:rPr>
          <w:b/>
        </w:rPr>
        <w:t xml:space="preserve">Ergebnis: </w:t>
      </w:r>
      <w:r>
        <w:t>Die Wahrscheinlichkeit einer Operation aus beliebigem Grund sank von 65,6 % beim ersten Fall auf 32,9 % beim Fall 473; maximale Effizienz wurde bei Fall 311 erreicht. Revisionen wegen Unzufriedenheit traten bei 21,9 % der Patienten auf und sanken von 33,2 % auf 12,8 %, mit maximaler Effizienz bei Fall 261. Kumulative institutionelle Erfahrung war unabhängiger Prädiktor für bessere Ergebnisse (OR = 0,997, p = 0,020). Dies zeigt: Die Versorgungsqualität verbessert sich mit Routine — die biologische Komplexität (Aufbau eines funktionsfähigen Gewebes) wird durch strukturelle Faktoren (Chirurgenerfahrung) bestimmt.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ähnliche Ressourcenlage wie deutsches Spezialistensystem</w:t>
      </w:r>
    </w:p>
    <w:p>
      <w:r>
        <w:rPr>
          <w:color w:val="5A7D3A"/>
          <w:sz w:val="18"/>
        </w:rPr>
        <w:t>https://pubmed.ncbi.nlm.nih.gov/42801789/</w:t>
      </w:r>
    </w:p>
    <w:p>
      <w:pPr>
        <w:pStyle w:val="Heading2"/>
      </w:pPr>
      <w:r>
        <w:t>Liaison-Pflegekraft für 2S/LGBTQIA+-Patienten: Strukturelle Intervention für Chancengleichheit</w:t>
      </w:r>
    </w:p>
    <w:p>
      <w:r>
        <w:rPr>
          <w:i/>
          <w:color w:val="666666"/>
          <w:sz w:val="18"/>
        </w:rPr>
        <w:t>Handlovsky I et al.  ·  Nurs Inq  ·  Okt. 2026  ·  PMID 42801724</w:t>
      </w:r>
    </w:p>
    <w:p>
      <w:r>
        <w:t>Qualitative Ethnographie der klinischen Praxis einer Liaison-Pflegekraft für sexuelle und Geschlechterminderheiten in zwei kanadischen Akutkrankenhäusern über 7 Monate.</w:t>
      </w:r>
    </w:p>
    <w:p>
      <w:r>
        <w:rPr>
          <w:b/>
        </w:rPr>
        <w:t xml:space="preserve">Ergebnis: </w:t>
      </w:r>
      <w:r>
        <w:t>Drei zentrale Dimensionen wurden identifiziert: Präsenz (Vertrauensbildung), Fachkompetenz (physiologische und psychosoziale Besonderheiten von 2S/LGBTQIA+-Patienten) und Systemadvokacy (Navigation institutioneller Hemmnisse). Diese Dimensionen ermöglichten bessere Informationen für klinische Entscheidungen und reduzierten strukturelle Barrieren — nachweislich nicht primär biologisch, sondern durch Unterversorgung und Stigma bedingt. Die Liaison-Rolle funktioniert als klinische und Systemintervention, die Chancengleichheit fördert.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ähnliches Modell im deutschsprachigen Raum adaptierbar</w:t>
      </w:r>
    </w:p>
    <w:p>
      <w:r>
        <w:rPr>
          <w:color w:val="5A7D3A"/>
          <w:sz w:val="18"/>
        </w:rPr>
        <w:t>https://pubmed.ncbi.nlm.nih.gov/42801724/</w:t>
      </w:r>
    </w:p>
    <w:p>
      <w:pPr>
        <w:pStyle w:val="Heading2"/>
      </w:pPr>
      <w:r>
        <w:t>Digitale kognitive Verhaltenstherapie für chinesische Männer mit HIV: Kulturelle Anpassung und Machbarkeit</w:t>
      </w:r>
    </w:p>
    <w:p>
      <w:r>
        <w:rPr>
          <w:i/>
          <w:color w:val="666666"/>
          <w:sz w:val="18"/>
        </w:rPr>
        <w:t>Wu W et al.  ·  J Med Internet Res  ·  14.09.2026  ·  PMID 42735073</w:t>
      </w:r>
    </w:p>
    <w:p>
      <w:r>
        <w:t>Drei-Phasen-Nutzer-zentrierte Anpassung einer kognitiven Verhaltenstherapie (ESTEEM) in eine WeChat-Mini-Programm-App für chinesische Männer mit HIV-Erfahrung; Pilotphase mit 10 Patienten und 5 Berater.</w:t>
      </w:r>
    </w:p>
    <w:p>
      <w:r>
        <w:rPr>
          <w:b/>
        </w:rPr>
        <w:t xml:space="preserve">Ergebnis: </w:t>
      </w:r>
      <w:r>
        <w:t>In Phase 1 wurden 3 Themen identifiziert: katastrophisches Denken bei Gesundheitsangst, internalisiertes Stigma (Offenbarungsdilemma) und Scham-Schemata zu Unzulänglichkeit. Im Pilot loggten sich Teilnehmer durchschnittlich 14,1-mal (SD 6,7) ein und absolvierten 134,3 min (SD 103,1) Lernmodule; 90 % ( 9/10) erreichten alle Module. Angststörungen sanken von 8,9 (SD 2,3) auf 7,2 (SD 3,0). Alle Teilnehmer (100 %) zeigten Bereitschaft zur Fortsetzung und Empfehlung. Dies zeigt: Psychische Belastung entsteht nicht aus Biologie (HIV), sondern aus sozialer Stigmatisierung und Schamkognitionen — durch kulturgerechte Intervention reduzierbar.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China-Pilot, aber Konzept der Stigma-fokussierten Intervention für andere Hochrisikogruppen adaptierbar</w:t>
      </w:r>
    </w:p>
    <w:p>
      <w:r>
        <w:rPr>
          <w:color w:val="5A7D3A"/>
          <w:sz w:val="18"/>
        </w:rPr>
        <w:t>https://pubmed.ncbi.nlm.nih.gov/42735073/</w:t>
      </w:r>
    </w:p>
    <w:p>
      <w:pPr>
        <w:pStyle w:val="Heading2"/>
      </w:pPr>
      <w:r>
        <w:t>Physische Aktivitätsforschung übersieht arme Bevölkerungsgruppen systematisch</w:t>
      </w:r>
    </w:p>
    <w:p>
      <w:r>
        <w:rPr>
          <w:i/>
          <w:color w:val="666666"/>
          <w:sz w:val="18"/>
        </w:rPr>
        <w:t>Stalsberg R  ·  Int J Public Health  ·  28.08.2026  ·  PMID 42729238</w:t>
      </w:r>
    </w:p>
    <w:p>
      <w:r>
        <w:t>Literaturkritik zum Bias in der Bewegungsforschung: Die Fokussierung auf Freizeit-Bewegung ignoriert Alltagsaktivität und unterschätzt Aktivitätsmuster niedriger Sozialschichten systematisch.</w:t>
      </w:r>
    </w:p>
    <w:p>
      <w:r>
        <w:rPr>
          <w:b/>
        </w:rPr>
        <w:t xml:space="preserve">Ergebnis: </w:t>
      </w:r>
      <w:r>
        <w:t>Methodische Verzerrungen (Stichprobenselektion, Messinstrumente) führen zur Unterrepräsentation von Personen mit niedrigem Sozioökonomischen Status. Dies reproduziert Chancenungleichheit: Interventionen, die auf Freizeitverhalten abzielen, verfehlen arbeitsreiche, körperlich fordernde Bevölkerungsgruppen. Der Bias ist nicht biologisch, sondern methodisch und perpetuiert Health Inequities durch fehlerhafte Datenbasis.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(Autor), aber epistemische Kritik auf deutsches Studiendesign anwendbar</w:t>
      </w:r>
    </w:p>
    <w:p>
      <w:r>
        <w:rPr>
          <w:color w:val="5A7D3A"/>
          <w:sz w:val="18"/>
        </w:rPr>
        <w:t>https://pubmed.ncbi.nlm.nih.gov/42729238/</w:t>
      </w:r>
    </w:p>
    <w:p>
      <w:pPr>
        <w:pStyle w:val="Heading2"/>
      </w:pPr>
      <w:r>
        <w:t>Geschlechtsspezifische Immunität: Sechs ungelöste Fragen für klinische Anwendung</w:t>
      </w:r>
    </w:p>
    <w:p>
      <w:r>
        <w:rPr>
          <w:i/>
          <w:color w:val="666666"/>
          <w:sz w:val="18"/>
        </w:rPr>
        <w:t>Flanagan KL et al.  ·  Front Immunol  ·  26.08.2026  ·  PMID 42718495</w:t>
      </w:r>
    </w:p>
    <w:p>
      <w:r>
        <w:t>Expertenpapier zu mechanistischen Forschungslücken in der Geschlechtsimmunologie, die geklärt werden müssen, bevor biologische Geschlechtsunterschiede klinisch handlungsleitend werden können.</w:t>
      </w:r>
    </w:p>
    <w:p>
      <w:r>
        <w:rPr>
          <w:b/>
        </w:rPr>
        <w:t xml:space="preserve">Ergebnis: </w:t>
      </w:r>
      <w:r>
        <w:t>Sechs identifizierte Grand Challenges: (1) rigide Erfassung geschlechtsspezifischer Immunzellfunktionen über die Lebensspanne; (2) funktionale Rollen X- und Y-gebundener Immungene und X-Inaktivierungs-Escape klären; (3) Rolle von Sexualsteroiden und epigenetischer Regulation abbilden; (4) Auswirkung der bidirektionalen Sex-Mikrobiota-Immunitäts-Achse klären; (5) Geschlecht in experimentellen Modellen als Variable statt Confounder etablieren; (6) mechanistische Einsichten in geschlechtsspezifische Prävention und Behandlung übersetzen. Das Paper zeigt: Ohne diese grundlagenseitigen Klärungen können biologische Unterschiede nicht klinisch sicher genutzt werden — momentan ist die Kausalität ungeklärt.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Expertise, unabhängig von Gesundheitssystem gültig</w:t>
      </w:r>
    </w:p>
    <w:p>
      <w:r>
        <w:rPr>
          <w:color w:val="5A7D3A"/>
          <w:sz w:val="18"/>
        </w:rPr>
        <w:t>https://pubmed.ncbi.nlm.nih.gov/42718495/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