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27.09.2026  |  6 Studien  |  gender.m-vf.de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Geschlechtsbilder in der Grundversorgung beeinflussen Behandlungsqualität</w:t>
      </w:r>
    </w:p>
    <w:p>
      <w:r>
        <w:rPr>
          <w:i/>
          <w:color w:val="666666"/>
          <w:sz w:val="18"/>
        </w:rPr>
        <w:t>Bah H et al.  ·  BMC Health Serv Res  ·  04.09.2026  ·  PMID 42791533</w:t>
      </w:r>
    </w:p>
    <w:p>
      <w:r>
        <w:t>Querschnittsuntersuchung der Wahrnehmungen von Gesundheitspersonal zu Geschlecht und Equity in 19 Gesundheitszentren Conakrys (412 Mitarbeiter aus ärztlichem, pflegerischem und technischem Dienst).</w:t>
      </w:r>
    </w:p>
    <w:p>
      <w:r>
        <w:rPr>
          <w:b/>
        </w:rPr>
        <w:t xml:space="preserve">Ergebnis: </w:t>
      </w:r>
      <w:r>
        <w:t>Über 50 % der Mitarbeiter berichteten das Fehlen von Geschlechter-Equity-Richtlinien oder Focal Points; die Mehrheit sah Geschlecht nicht als Einflussfaktor auf Versorgung, Karriere oder Patientenbehandlung an. Allerdings äußerte die starke Mehrheit Unterstützung für gezielt Schulung und Sensibilisierung zu Geschlecht und Equity.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Guinea, aber zeigt Schulungsbedarfe, die auch in Subsahara-Systemen gelten.</w:t>
      </w:r>
    </w:p>
    <w:p>
      <w:r>
        <w:rPr>
          <w:color w:val="5A7D3A"/>
          <w:sz w:val="18"/>
        </w:rPr>
        <w:t>https://pubmed.ncbi.nlm.nih.gov/42791533/</w:t>
      </w:r>
    </w:p>
    <w:p>
      <w:pPr>
        <w:pStyle w:val="Heading2"/>
      </w:pPr>
      <w:r>
        <w:t>Elternprogramm für Kindsentwicklung in Vietnam: Geschlechts-und Kostenkontrolle</w:t>
      </w:r>
    </w:p>
    <w:p>
      <w:r>
        <w:rPr>
          <w:i/>
          <w:color w:val="666666"/>
          <w:sz w:val="18"/>
        </w:rPr>
        <w:t>Baek Y et al.  ·  BMJ Open  ·  24.09.2026  ·  PMID 42785938</w:t>
      </w:r>
    </w:p>
    <w:p>
      <w:r>
        <w:t>Protokoll einer Follow-up-Studie einer Cluster-RCT (2018–2021) mit 622 Frauen-Kind-Dyaden (Interventionsgruppe) und 546 (Kontrolle) zur Untersuchung mittelfristiger Effekte auf kognitives, sprachliches und motorisches Entwicklungsniveau von Kindern im Alter 7–9 Jahren und maternale psychische Gesundheit.</w:t>
      </w:r>
    </w:p>
    <w:p>
      <w:r>
        <w:rPr>
          <w:b/>
        </w:rPr>
        <w:t xml:space="preserve">Ergebnis: </w:t>
      </w:r>
      <w:r>
        <w:t>Die ursprüngliche RCT zeigte bei 2 Jahren erhöhte kognitive, sprachliche und motorische Entwicklung in der Interventionsgruppe und war kosteneffektiv. Das geplante Follow-up wird die Persistenz dieser Effekte bei älteren Kindern untersuchen, Geschlechtsspezifizität ist ein geplanter Outcomes (Geschlechtsunterschiede in Reaktion auf Intervention werden analysiert).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Vietnam; Versorgungsmodell müsste auf deutsches System adaptiert werden.</w:t>
      </w:r>
    </w:p>
    <w:p>
      <w:r>
        <w:rPr>
          <w:color w:val="5A7D3A"/>
          <w:sz w:val="18"/>
        </w:rPr>
        <w:t>https://pubmed.ncbi.nlm.nih.gov/42785938/</w:t>
      </w:r>
    </w:p>
    <w:p>
      <w:pPr>
        <w:pStyle w:val="Heading2"/>
      </w:pPr>
      <w:r>
        <w:t>Struktureller Rassismus und Kindersterblichkeit: Systematischer Review</w:t>
      </w:r>
    </w:p>
    <w:p>
      <w:r>
        <w:rPr>
          <w:i/>
          <w:color w:val="666666"/>
          <w:sz w:val="18"/>
        </w:rPr>
        <w:t>Obi C et al.  ·  J Health Care Poor Underserved  ·  2026  ·  PMID 42766502</w:t>
      </w:r>
    </w:p>
    <w:p>
      <w:r>
        <w:t>Systematischer Review (PRISMA-Leitlinie) von 1955–2024 mit 33 eingeschlossenen Studien (alle USA) zur Beziehung zwischen strukturellem Rassismus (sechs Domänen: Einkommen, Bildung, Wohnen, Bügerrechte, Gesundheitswesen, Justiz) und Säuglingssterblichkeitsraten (IMR).</w:t>
      </w:r>
    </w:p>
    <w:p>
      <w:r>
        <w:rPr>
          <w:b/>
        </w:rPr>
        <w:t xml:space="preserve">Ergebnis: </w:t>
      </w:r>
      <w:r>
        <w:t>In allen sechs Domänen zeigte Rassenungleichheit (gemessen als struktureller Rassismus) Assoziation mit höherer Säuglingssterblichkeit bei Schwarzen Kindern; wenig oder kein Effekt auf weiße Säuglingssterblichkeit. Struktureller Rassismus wirkt sich nachteilig auf IMR schwarzer Säuglinge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Befund zu Rassenungleichheit nicht direkt übertragbar, aber methodisches Vorgehen zur Untersuchung struktureller Determinanten relevant.</w:t>
      </w:r>
    </w:p>
    <w:p>
      <w:r>
        <w:rPr>
          <w:color w:val="5A7D3A"/>
          <w:sz w:val="18"/>
        </w:rPr>
        <w:t>https://pubmed.ncbi.nlm.nih.gov/42766502/</w:t>
      </w:r>
    </w:p>
    <w:p>
      <w:pPr>
        <w:pStyle w:val="Heading2"/>
      </w:pPr>
      <w:r>
        <w:t>Geschlechtsspezifische Unterschiede bei motorischem Lernen unter Hirnstimulation</w:t>
      </w:r>
    </w:p>
    <w:p>
      <w:r>
        <w:rPr>
          <w:i/>
          <w:color w:val="666666"/>
          <w:sz w:val="18"/>
        </w:rPr>
        <w:t>Oldrati V et al.  ·  Neural Plast  ·  2026  ·  PMID 42730484</w:t>
      </w:r>
    </w:p>
    <w:p>
      <w:r>
        <w:t>Kontrollierte experimentelle Studie zu Effekten transkranieller alternierend Stromstimulation (tACS) und transkutaner Vagusnervstimulation (tVNS) auf motorisches Lernen bei 96 gesunden Erwachsenen (24 Frauen pro Gruppe).</w:t>
      </w:r>
    </w:p>
    <w:p>
      <w:r>
        <w:rPr>
          <w:b/>
        </w:rPr>
        <w:t xml:space="preserve">Ergebnis: </w:t>
      </w:r>
      <w:r>
        <w:t>tACS zeigte geschlechtsspezifisch unterschiedliche Effekte: Frauen verbesserten Präzision bei näheren Zielen, Männer bei fernen Zielen (erhebliche Überschneidung). tVNS hatte unterschiedliche Effekte auf Reaktionszeiten: Verlangsamung bei Männern, Beschleunigung bei Frauen. Beide Stimulationsarten zeigten Reaktionszeitverlangsamung (tACS) oder divergente Effekte (tVNS) nach Geschlecht.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Labor-Setting; zeigt biologische Modulation aber keine klinische Versorgungssituation.</w:t>
      </w:r>
    </w:p>
    <w:p>
      <w:r>
        <w:rPr>
          <w:color w:val="5A7D3A"/>
          <w:sz w:val="18"/>
        </w:rPr>
        <w:t>https://pubmed.ncbi.nlm.nih.gov/42730484/</w:t>
      </w:r>
    </w:p>
    <w:p>
      <w:pPr>
        <w:pStyle w:val="Heading2"/>
      </w:pPr>
      <w:r>
        <w:t>Messinstrumente für Minderheitsstress bei LGBQ-Personen: Systematische Bewertung</w:t>
      </w:r>
    </w:p>
    <w:p>
      <w:r>
        <w:rPr>
          <w:i/>
          <w:color w:val="666666"/>
          <w:sz w:val="18"/>
        </w:rPr>
        <w:t>Misevic-Kallenbach M et al.  ·  Arch Sex Behav  ·  28.08.2026  ·  PMID 42665774</w:t>
      </w:r>
    </w:p>
    <w:p>
      <w:r>
        <w:t>COSMIN-Systematischer Review der psychometrischen Eigenschaften von Instrumenten zur Messung von Minderheitsstress in LGBQ-Populationen; 105 Instrumente gescreent, 8 bewertet.</w:t>
      </w:r>
    </w:p>
    <w:p>
      <w:r>
        <w:rPr>
          <w:b/>
        </w:rPr>
        <w:t xml:space="preserve">Ergebnis: </w:t>
      </w:r>
      <w:r>
        <w:t>Die Lesbian, Gay, and Bisexual Identity Scale (LGBIS) und ihre deutsche Adaptation (LGBIS-DE) zeigten die stärksten psychometrischen Eigenschaften. Jedoch zeigte der Review erhebliche Variabilität in der Konzeptualisierung von Minderheitsstress und unzureichend untersuchte Inhaltsvalidität bei vielen Instrumenten.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- LGBIS-DE verfügbar; Messstandards gelten unabhängig vom System.</w:t>
      </w:r>
    </w:p>
    <w:p>
      <w:r>
        <w:rPr>
          <w:color w:val="5A7D3A"/>
          <w:sz w:val="18"/>
        </w:rPr>
        <w:t>https://pubmed.ncbi.nlm.nih.gov/42665774/</w:t>
      </w:r>
    </w:p>
    <w:p>
      <w:pPr>
        <w:pStyle w:val="Heading2"/>
      </w:pPr>
      <w:r>
        <w:t>Grüne Stadtinfrastruktur reduziert keine bestehenden Gesundheitsungleichgewichte</w:t>
      </w:r>
    </w:p>
    <w:p>
      <w:r>
        <w:rPr>
          <w:i/>
          <w:color w:val="666666"/>
          <w:sz w:val="18"/>
        </w:rPr>
        <w:t>Nguyen D et al.  ·  Soc Sci Med  ·  11.08.2026  ·  PMID 42600356</w:t>
      </w:r>
    </w:p>
    <w:p>
      <w:r>
        <w:t>Kohortenstudie mit Querschnittserhebungen 2010/11, 2017/18 und 2023/24 (je ca. 1000 Erwachsene) zur Messung von Einkommensungleichgewichten bei körperlicher Aktivität, psychischem Wohlbefinden und Lebensqualität vor, während und nach Abschluss einer großen urbanen Grünflächenintervention (Connswater Community Greenway, Belfast).</w:t>
      </w:r>
    </w:p>
    <w:p>
      <w:r>
        <w:rPr>
          <w:b/>
        </w:rPr>
        <w:t xml:space="preserve">Ergebnis: </w:t>
      </w:r>
      <w:r>
        <w:t>Über 15 Jahre breite Zunahme von Einkommensungleichgewichten in allen drei Ergebnisvariablen: Höhere Aktivität, besseres Wohlbefinden und höhere Lebensqualität in Hocheinkommensgruppen (Konzentrationsindizes: PA 0,33; MWB 0,03; QLi 0,09). Die Ungleichgewichte verbreiterten sich während der Bauphase 2010–2017 und blieben nach Abschluss stabil. Langzeiterkrankung und Arbeitslosigkeit erklärten 51–76 % der Ungleichgewichte.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UK; zeigt Grenzen von Infrastrukturintervention ohne Equity-Fokus, methodisch auf Deutschland übertragbar.</w:t>
      </w:r>
    </w:p>
    <w:p>
      <w:r>
        <w:rPr>
          <w:color w:val="5A7D3A"/>
          <w:sz w:val="18"/>
        </w:rPr>
        <w:t>https://pubmed.ncbi.nlm.nih.gov/42600356/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