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Geschlecht und Gesundheit</w:t>
      </w:r>
    </w:p>
    <w:p>
      <w:r>
        <w:rPr>
          <w:i/>
          <w:color w:val="666666"/>
          <w:sz w:val="18"/>
        </w:rPr>
        <w:t>Stand: 03.09.2026  |  5 Studien  |  gender.m-vf.de</w:t>
      </w:r>
    </w:p>
    <w:p>
      <w:pPr>
        <w:pStyle w:val="Heading1"/>
      </w:pPr>
      <w:r>
        <w:t>Aufgenommen am 03.09.2026</w:t>
      </w:r>
    </w:p>
    <w:p>
      <w:pPr>
        <w:pStyle w:val="Heading2"/>
      </w:pPr>
      <w:r>
        <w:t>Menopause bei Trans- und Gender-diversen Menschen: jenseits von Cisgenderismus</w:t>
      </w:r>
    </w:p>
    <w:p>
      <w:r>
        <w:rPr>
          <w:i/>
          <w:color w:val="666666"/>
          <w:sz w:val="18"/>
        </w:rPr>
        <w:t>Drysdale K et al.  ·  Health Promot Int  ·  01.09.2026  ·  PMID 42678722</w:t>
      </w:r>
    </w:p>
    <w:p>
      <w:r>
        <w:t>Qualitative Analyse von 3 Fokusgruppen mit 17 trans-Männern und nonbinären Personen mit Ovarien zu Verständnis, Erfahrung und Versorgungsbedarf bei hormonellen Veränderungen.</w:t>
      </w:r>
    </w:p>
    <w:p>
      <w:r>
        <w:rPr>
          <w:b/>
        </w:rPr>
        <w:t xml:space="preserve">Ergebnis: </w:t>
      </w:r>
      <w:r>
        <w:t>Teilnehmer berichten, dass zeitgenössische Menopausen-Diskurse stark durch cisgendernormative Annahmen geprägt sind; Verständnis von Menopause bei trans-Personen wird durch persönliche und andere Geschlechtsidentität sowie Kontexte der Geschlechtsaffirmation vermittelt. Versorgung muss trans-Personen einbeziehen als Frage der Health Equity, nicht bloßer Inklusion.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Australien, Fokusgruppen, Versorgungslücke in aktuellen Menopausen-Leitlinien erkannt</w:t>
      </w:r>
    </w:p>
    <w:p>
      <w:r>
        <w:rPr>
          <w:color w:val="5A7D3A"/>
          <w:sz w:val="18"/>
        </w:rPr>
        <w:t>https://pubmed.ncbi.nlm.nih.gov/42678722/</w:t>
      </w:r>
    </w:p>
    <w:p>
      <w:pPr>
        <w:pStyle w:val="Heading2"/>
      </w:pPr>
      <w:r>
        <w:t>Long-Acting-HIV-PrEP: unterschiedliche Akzeptanz zwischen Erfahrenen und Anfängern</w:t>
      </w:r>
    </w:p>
    <w:p>
      <w:r>
        <w:rPr>
          <w:i/>
          <w:color w:val="666666"/>
          <w:sz w:val="18"/>
        </w:rPr>
        <w:t>Blomaard CM et al.  ·  AIDS Care  ·  26.08.2026  ·  PMID 42647163</w:t>
      </w:r>
    </w:p>
    <w:p>
      <w:r>
        <w:t>Querschnittstudie zu Absichten der Nutzung verschiedener long-acting-PrEP-Modalitäten bei 1258 HIV-negativen MSM und trans/gender-diversen Personen in Amsterdam (97,9% MSM).</w:t>
      </w:r>
    </w:p>
    <w:p>
      <w:r>
        <w:rPr>
          <w:b/>
        </w:rPr>
        <w:t xml:space="preserve">Ergebnis: </w:t>
      </w:r>
      <w:r>
        <w:t>Intention zur Nutzung monatlich orale long-acting PrEP (ACS-Kohorte: 38% hohe Intention; Survey: 81%), gefolgt von 2-monatlich intramuskulärer PrEP (ACS: 19%; Survey: 47%) und Implantaten (ACS: 9%; Survey: 37%). PrEP-erfahrene Teilnehmer zeigten höhere Intention für orale und injectable Formen als PrEP-naive. Angebot mehrerer Modalitäten könnte Akzeptanz und Retention verbessern.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Niederlande, vergleichbares Versicherungssystem, europäische Zugangswege</w:t>
      </w:r>
    </w:p>
    <w:p>
      <w:r>
        <w:rPr>
          <w:color w:val="5A7D3A"/>
          <w:sz w:val="18"/>
        </w:rPr>
        <w:t>https://pubmed.ncbi.nlm.nih.gov/42647163/</w:t>
      </w:r>
    </w:p>
    <w:p>
      <w:pPr>
        <w:pStyle w:val="Heading2"/>
      </w:pPr>
      <w:r>
        <w:t>Frauen brauchen nach Herzoperation länger zur Genesung</w:t>
      </w:r>
    </w:p>
    <w:p>
      <w:r>
        <w:rPr>
          <w:i/>
          <w:color w:val="666666"/>
          <w:sz w:val="18"/>
        </w:rPr>
        <w:t>Zayat R et al.  ·  J Am Heart Assoc  ·  20.08.2026  ·  PMID 42622119</w:t>
      </w:r>
    </w:p>
    <w:p>
      <w:r>
        <w:t>Propensity-Score-Analyse zur Untersuchung von Geschlechtsunterschieden in Komplikationen und Erholung nach hochriskanter Herzchirurgie anhand von 1386 Patienten aus der SUSTAIN-CSX-Studie.</w:t>
      </w:r>
    </w:p>
    <w:p>
      <w:r>
        <w:rPr>
          <w:b/>
        </w:rPr>
        <w:t xml:space="preserve">Ergebnis: </w:t>
      </w:r>
      <w:r>
        <w:t>Frauen zeigten verlängerten Intensivstationsaufenthalt (Median 3 vs. 2 Tage) und längeren Klinikaufenthalt (Median 10 vs. 9 Tage); nach Adjustment war das Risiko für prolongiertes Aufenthalt signifikant erhöht (ICU: IRR 1,8 [95%-KI 1,2–2,9], p=0,009; Klinik: IRR 1,4 [95%-KI 1,0–1,9], p=0,031). Sterblichkeit unterschied sich 180 Tage nicht signifikant. Der längere Genesungsverlauf persisitierte auch nach Kontrolle für Baseline-Unterschiede.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Klinikdaten, vergleichbare Dokumentationspflichten, AWMF-Leitlinien ohne Geschlechtsstratifizierung</w:t>
      </w:r>
    </w:p>
    <w:p>
      <w:r>
        <w:rPr>
          <w:color w:val="5A7D3A"/>
          <w:sz w:val="18"/>
        </w:rPr>
        <w:t>https://pubmed.ncbi.nlm.nih.gov/42622119/</w:t>
      </w:r>
    </w:p>
    <w:p>
      <w:pPr>
        <w:pStyle w:val="Heading2"/>
      </w:pPr>
      <w:r>
        <w:t>Luftverschmutzung wirkt sich auf Männer und Frauen unterschiedlich auf das Herz aus</w:t>
      </w:r>
    </w:p>
    <w:p>
      <w:r>
        <w:rPr>
          <w:i/>
          <w:color w:val="666666"/>
          <w:sz w:val="18"/>
        </w:rPr>
        <w:t>Li Y et al.  ·  Int J Hyg Environ Health  ·  11.06.2026  ·  PMID 42275869</w:t>
      </w:r>
    </w:p>
    <w:p>
      <w:r>
        <w:t>Longitudinale Analyse von 9181 EKGs aus 4143 Teilnehmern der KORA-Kohort zur Untersuchung geschlechtsspezifischer Assoziationen zwischen Langzeit-Luftschadstoffexposition und EKG-Parametern der kardialen Reizleitung und Repolarisation.</w:t>
      </w:r>
    </w:p>
    <w:p>
      <w:r>
        <w:rPr>
          <w:b/>
        </w:rPr>
        <w:t xml:space="preserve">Ergebnis: </w:t>
      </w:r>
      <w:r>
        <w:t>Bei Männern war ein IQR-Anstieg von Feinstaub (PM2,5) und Stickstoffdioxid (NO2) mit einer Verlängerung des JTc-Intervalls von 0,31% (95%-KI 0,10–0,51) bzw. 0,51% (95%-KI 0,28–0,74) assoziiert. Bei Frauen waren Hauptmodell-Schätzungen weniger konsistent; stratifizierte Analysen zeigten stärkere positive Assoziationen in Subgruppen mit Übergewicht, Rauchen und niedriger Bildung. Effekt der Luftverschmutzung auf die Repolarisation ist geschlechtsspezifisch und wird durch soziodemografische Faktoren modifiziert.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KORA-Kohorte, Umweltbelastung, vergleichbare Datenqualität</w:t>
      </w:r>
    </w:p>
    <w:p>
      <w:r>
        <w:rPr>
          <w:color w:val="5A7D3A"/>
          <w:sz w:val="18"/>
        </w:rPr>
        <w:t>https://pubmed.ncbi.nlm.nih.gov/42275869/</w:t>
      </w:r>
    </w:p>
    <w:p>
      <w:pPr>
        <w:pStyle w:val="Heading2"/>
      </w:pPr>
      <w:r>
        <w:t>Geschlechtsunterschiede in der Genetik von Angststörungen: teilweise unterschiedliche Architektur</w:t>
      </w:r>
    </w:p>
    <w:p>
      <w:r>
        <w:rPr>
          <w:i/>
          <w:color w:val="666666"/>
          <w:sz w:val="18"/>
        </w:rPr>
        <w:t>Hu J et al.  ·  Psychol Med  ·  11.06.2026  ·  PMID 42272362</w:t>
      </w:r>
    </w:p>
    <w:p>
      <w:r>
        <w:t>Erste geschlechtsspezifische Metaanalyse von GWAS für Angststörungen mit UK Biobank und All of Us (85.042 Frauen mit Fällen, 36.732 Männer mit Fällen); funktionelle Annotation und sex-spezifische polygenic scores durchgeführt.</w:t>
      </w:r>
    </w:p>
    <w:p>
      <w:r>
        <w:rPr>
          <w:b/>
        </w:rPr>
        <w:t xml:space="preserve">Ergebnis: </w:t>
      </w:r>
      <w:r>
        <w:t>Bei Frauen waren 21 lead SNPs signifikant mit Angst assoziiert, bei Männern 5. Genetische Korrelation zwischen Geschlechtern war hoch, aber signifikant &lt;1 (p&lt;0,05), was auf teilweise unterschiedliche genetische Architektur hinweist. Heritabilität war bei Frauen signifikant höher. Gen-basierte Tests identifizierten unterschiedliche Gene bei Frauen und Männern; weibliche Angst zeigte stärkere Korrelationen mit ADHS und BMI, männliche mit waist-hip-ratio-adjustiertem BMI. Unterschiedliche genetische Architektur erklärt, warum separate Analysen nötig sind.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Großbritannien, USA – Datengröße begrenzt auf englischsprachige Biobanken, aber biologische Befunde übertragbar</w:t>
      </w:r>
    </w:p>
    <w:p>
      <w:r>
        <w:rPr>
          <w:color w:val="5A7D3A"/>
          <w:sz w:val="18"/>
        </w:rPr>
        <w:t>https://pubmed.ncbi.nlm.nih.gov/42272362/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Geschlecht und Gesundheit</dc:title>
  <dc:subject/>
  <dc:creator>Monitor Versorgungsforschung</dc:creator>
  <cp:keywords/>
  <dc:description>generated by python-docx</dc:description>
  <cp:lastModifiedBy/>
  <cp:revision>1</cp:revision>
  <dcterms:created xsi:type="dcterms:W3CDTF">2026-09-03T06:00:00Z</dcterms:created>
  <dcterms:modified xsi:type="dcterms:W3CDTF">2026-09-03T06:00:00Z</dcterms:modified>
  <cp:category/>
</cp:coreProperties>
</file>