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14.09.2026  |  6 Studien  |  gender.m-vf.de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Symptomnetze bei Depression und Angst unterscheiden sich geschlechtsspezifisch unter Stress</w:t>
      </w:r>
    </w:p>
    <w:p>
      <w:r>
        <w:rPr>
          <w:i/>
          <w:color w:val="666666"/>
          <w:sz w:val="18"/>
        </w:rPr>
        <w:t>Hu J et al.  ·  Depress Anxiety  ·  12.09.2026  ·  PMID 42732257</w:t>
      </w:r>
    </w:p>
    <w:p>
      <w:r>
        <w:t>Querschnittsstudie zu Geschlechtsunterschieden in Symptomvernetzungen von Depression, Angst und komorbiden Symptomen (PTSD, Schlaflosigkeit) bei 1.191 Erwachsenen unter akutem psychischem Stress.</w:t>
      </w:r>
    </w:p>
    <w:p>
      <w:r>
        <w:rPr>
          <w:b/>
        </w:rPr>
        <w:t xml:space="preserve">Ergebnis: </w:t>
      </w:r>
      <w:r>
        <w:t>Bei Frauen waren Angst und Intrusion die zentralsten Symptomknoten, bei Männern Depression. Frauen zeigten signifikant höhere Gesamtkonkektivität im Netzwerk und eine komplexere Architektur mit mehr gerichteten Verbindungen zwischen Symptomen (18% erklärte Varianz für Kortikaler Thinning, 32% für Amygdala-Volumen). Diese Unterschiede deuten auf Ansatzpunkte für geschlechtssensible psychologische Erste Hilfe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Querschnittsstudie, direkt auf Stressintervention übertragbar.</w:t>
      </w:r>
    </w:p>
    <w:p>
      <w:r>
        <w:rPr>
          <w:color w:val="5A7D3A"/>
          <w:sz w:val="18"/>
        </w:rPr>
        <w:t>https://pubmed.ncbi.nlm.nih.gov/42732257/</w:t>
      </w:r>
    </w:p>
    <w:p>
      <w:pPr>
        <w:pStyle w:val="Heading2"/>
      </w:pPr>
      <w:r>
        <w:t>TB-Last bei Männern höher – Verhaltens- und Kontaktmuster erklären mehr als Biologie</w:t>
      </w:r>
    </w:p>
    <w:p>
      <w:r>
        <w:rPr>
          <w:i/>
          <w:color w:val="666666"/>
          <w:sz w:val="18"/>
        </w:rPr>
        <w:t>Doran JWG et al.  ·  Bull Math Biol  ·  10.09.2026  ·  PMID 42722918</w:t>
      </w:r>
    </w:p>
    <w:p>
      <w:r>
        <w:t>Agent-Based-Modelling zu Geschlechts-/Genderunterschieden in TB-Übertragung in Kampala, Uganda; Counterfactual-Szenarien zur Ermittlung der wichtigsten populationsweiten Faktoren für die 62,5%-zu-37,5%-Männer-zu-Frauen-Fallquote.</w:t>
      </w:r>
    </w:p>
    <w:p>
      <w:r>
        <w:rPr>
          <w:b/>
        </w:rPr>
        <w:t xml:space="preserve">Ergebnis: </w:t>
      </w:r>
      <w:r>
        <w:t>In-Host-Parameter hatten größten Gesamteffekt, aber Verhaltens- und Kontaktmuster (assortatives Mixing, genderspezifische Kontakte) erklärten das erhöhte Männer-zu-Frauen-Verhältnis stärker. Super-Spreader verursachten Mehrheit der Infektionen; Männer und cavitäre TB-Träger infizieren im Durchschnitt mehr Personen. Modell zeigt Proof-of-Concept für geschlechtssensible TB-Interventionen.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Uganda, Süd-Subsahara-Afrika – zeigt Zugang und Verhalten als biologische Faktoren überlagern; Mechanismus ist übertragbar auf ähnliche Hochlast-Settings.</w:t>
      </w:r>
    </w:p>
    <w:p>
      <w:r>
        <w:rPr>
          <w:color w:val="5A7D3A"/>
          <w:sz w:val="18"/>
        </w:rPr>
        <w:t>https://pubmed.ncbi.nlm.nih.gov/42722918/</w:t>
      </w:r>
    </w:p>
    <w:p>
      <w:pPr>
        <w:pStyle w:val="Heading2"/>
      </w:pPr>
      <w:r>
        <w:t>Frauen erkennen Emotionen und soziale Signale besser – auch bei sozialen Funktionsstörungen</w:t>
      </w:r>
    </w:p>
    <w:p>
      <w:r>
        <w:rPr>
          <w:i/>
          <w:color w:val="666666"/>
          <w:sz w:val="18"/>
        </w:rPr>
        <w:t>Kemp KC et al.  ·  PLoS One  ·  10.09.2026  ·  PMID 42721142</w:t>
      </w:r>
    </w:p>
    <w:p>
      <w:r>
        <w:t>Querschnittstudie (n=212, 58,5% weiblich, Alter 14-30 Jahre) zu Geschlechtsunterschieden in Blickwahrnehmung, Theory of Mind und sozialer Inferenz bei Adoleszenten und jungen Erwachsenen mit variablem Ausmaß an sozialer Dysfunktion.</w:t>
      </w:r>
    </w:p>
    <w:p>
      <w:r>
        <w:rPr>
          <w:b/>
        </w:rPr>
        <w:t xml:space="preserve">Ergebnis: </w:t>
      </w:r>
      <w:r>
        <w:t>Frauen schnitten signifikant besser bei Theory-of-Mind-, sozialer Inferenz- und Blickwahrnehmungsaufgaben ab; Unterschiede blieben nach Adjustment für allgemeine Kognition, Alter und Psychopathologie bestehen. Ausnahme: komplexe, dynamische soziale Inferenzaufgabe – keine Unterschiede nach Adjustment für Psychopathologie. Frauen könnten allgemein empfindlicher für augen- und faciale Signale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auch bei Psychopathologie replizierbar; Mechanismus (Signaldetektion) nicht an System gebunden.</w:t>
      </w:r>
    </w:p>
    <w:p>
      <w:r>
        <w:rPr>
          <w:color w:val="5A7D3A"/>
          <w:sz w:val="18"/>
        </w:rPr>
        <w:t>https://pubmed.ncbi.nlm.nih.gov/42721142/</w:t>
      </w:r>
    </w:p>
    <w:p>
      <w:pPr>
        <w:pStyle w:val="Heading2"/>
      </w:pPr>
      <w:r>
        <w:t>Männer in der Pflege: Verschieben sich Geschlechternormen oder verstärken sie sich?</w:t>
      </w:r>
    </w:p>
    <w:p>
      <w:r>
        <w:rPr>
          <w:i/>
          <w:color w:val="666666"/>
          <w:sz w:val="18"/>
        </w:rPr>
        <w:t>Aydin F et al.  ·  Int Nurs Rev  ·  Sept. 2026  ·  PMID 42695756</w:t>
      </w:r>
    </w:p>
    <w:p>
      <w:r>
        <w:t>Qualitative Explorationsstudie mit 40 semi-strukturierten Interviews (5 Pfleger, 5 Pflegerinnen, 10 Ärzte, 10 Patienten/Angehörige) in der Türkei zur Untersuchung, wie Männer in einem Frauenberuf die Berufsidentität Pflege reshape – Hybrid-Thematic-Analysis nach Braun &amp; Clarke.</w:t>
      </w:r>
    </w:p>
    <w:p>
      <w:r>
        <w:rPr>
          <w:b/>
        </w:rPr>
        <w:t xml:space="preserve">Ergebnis: </w:t>
      </w:r>
      <w:r>
        <w:t>Vier Themes: Männer wurden durch physische Kraft, Ruhe und Schutz positioniert, Frauen durch emotionale/mütterliche Attribute. Männer wurden aus Geburtshilfe, Gynäkologie, Neonatologie ausgeschlossen (Datenschutz). Patienten und Ärzte definierten Pflegekompetenz durch unterschiedliche genderte Kriterien. Gender-Essentialismus wurde in ‚hybrider' Form reproduziert; Status-Gewinne scheinen an maskulinisierte Attribute statt Neubewerung von Care gebunden. Nur männliche Repräsentation ändert nicht Strukturgleichheit.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 – Kontext mit starken Geschlechternormen; Erkenntnis zu Geschlecht als Organisationsprinzipium überträgt auf alle Länder.</w:t>
      </w:r>
    </w:p>
    <w:p>
      <w:r>
        <w:rPr>
          <w:color w:val="5A7D3A"/>
          <w:sz w:val="18"/>
        </w:rPr>
        <w:t>https://pubmed.ncbi.nlm.nih.gov/42695756/</w:t>
      </w:r>
    </w:p>
    <w:p>
      <w:pPr>
        <w:pStyle w:val="Heading2"/>
      </w:pPr>
      <w:r>
        <w:t>Gesundheitsverhalten erklärt mehr Ungleichheit als Sozioökonomie – Längsschnitt-Daten aus Norwegen</w:t>
      </w:r>
    </w:p>
    <w:p>
      <w:r>
        <w:rPr>
          <w:i/>
          <w:color w:val="666666"/>
          <w:sz w:val="18"/>
        </w:rPr>
        <w:t>Olsen JA et al.  ·  Qual Life Res  ·  28.06.2026  ·  PMID 42365548</w:t>
      </w:r>
    </w:p>
    <w:p>
      <w:r>
        <w:t>Längsschnittstudie (11.313 Erwachsene, 25-54 Jahre zu Baseline, 21 Jahre Follow-up) zur Erklärung von Ungleichheiten in Lebensqualität durch Shapley-Value-Zerlegung von sozioökonomischen und Verhaltensrisiken.</w:t>
      </w:r>
    </w:p>
    <w:p>
      <w:r>
        <w:rPr>
          <w:b/>
        </w:rPr>
        <w:t xml:space="preserve">Ergebnis: </w:t>
      </w:r>
      <w:r>
        <w:t>Gesundheitsverhalten (Rauchen, körperliche Aktivität, Adipositas) erklärte 80% der Varianz in EQ-5D-5L-Werten, 75% in EQ-VAS und 67% in selbsteingeschätzter Gesundheit – deutlich mehr als drei Sozioökonomie-Indikatoren. Nach Adjustment für Baseline-Gesundheit stieg die Relevanz von Verhalten leicht an. Beide Interventionstypen könnten Ungleichheiten reduzieren.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Tromsø-Studie – skandinavisches Versicherungssystem, vergleichbar mit Deutschland.</w:t>
      </w:r>
    </w:p>
    <w:p>
      <w:r>
        <w:rPr>
          <w:color w:val="5A7D3A"/>
          <w:sz w:val="18"/>
        </w:rPr>
        <w:t>https://pubmed.ncbi.nlm.nih.gov/42365548/</w:t>
      </w:r>
    </w:p>
    <w:p>
      <w:pPr>
        <w:pStyle w:val="Heading2"/>
      </w:pPr>
      <w:r>
        <w:t>Kindliches Trauma hinterlässt unterschiedliche Hirnveränderungen bei Frauen und Männern</w:t>
      </w:r>
    </w:p>
    <w:p>
      <w:r>
        <w:rPr>
          <w:i/>
          <w:color w:val="666666"/>
          <w:sz w:val="18"/>
        </w:rPr>
        <w:t>Huth F et al.  ·  Eur Neuropsychopharmacol  ·  09.06.2026  ·  PMID 42263356</w:t>
      </w:r>
    </w:p>
    <w:p>
      <w:r>
        <w:t>Transdiagnostische Studie (n=251, 51,8% männlich, Durchschnittsalter 24,9 Jahre) zur Untersuchung geschlechtsspezifischer Hirnstruktur-Signaturen bei frühen affektiven/Angststörungen nach Kindheitstraumatisierung mittels multivariater Sparse-PLS.</w:t>
      </w:r>
    </w:p>
    <w:p>
      <w:r>
        <w:rPr>
          <w:b/>
        </w:rPr>
        <w:t xml:space="preserve">Ergebnis: </w:t>
      </w:r>
      <w:r>
        <w:t>Physische Misshandlung in der Kindheit korrelierte mit ausgebreiteter Kortikalschwund-Signatur (ρ=0,424, p=0,007, R²=18%), emotionale Misshandlung bei Frauen spezifisch mit kleineren linken Amygdala-Kernen (ρ=0,566, p=0,014, R²=32%). Bei Frauen sagte emotionale Misshandlung schlechtere Funktionalität nach 1-2 Jahren voraus (β=-0,45/-0,48, p&lt;0,001), während kleinere Amygdala-Kerne paradox bessere 2-Jahres-Outcomes vorhersagten – möglicherweise reflexiv adaptive Verarbeitung.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deutsches Klinikenzentrum (Dresden, Berlin, München), vergleichbare EU-Standards.</w:t>
      </w:r>
    </w:p>
    <w:p>
      <w:r>
        <w:rPr>
          <w:color w:val="5A7D3A"/>
          <w:sz w:val="18"/>
        </w:rPr>
        <w:t>https://pubmed.ncbi.nlm.nih.gov/42263356/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2026-09-14T06:00:00Z</dcterms:created>
  <dcterms:modified xsi:type="dcterms:W3CDTF">2026-09-14T06:00:00Z</dcterms:modified>
  <cp:category/>
</cp:coreProperties>
</file>