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 und Gesundheit</w:t>
      </w:r>
    </w:p>
    <w:p>
      <w:r>
        <w:rPr>
          <w:i/>
          <w:color w:val="666666"/>
          <w:sz w:val="18"/>
        </w:rPr>
        <w:t>Stand: 06.10.2026  |  6 Studien  |  gender.m-vf.de</w:t>
      </w:r>
    </w:p>
    <w:p>
      <w:pPr>
        <w:pStyle w:val="Heading1"/>
      </w:pPr>
      <w:r>
        <w:t>Aufgenommen am 06.10.2026</w:t>
      </w:r>
    </w:p>
    <w:p>
      <w:pPr>
        <w:pStyle w:val="Heading2"/>
      </w:pPr>
      <w:r>
        <w:t>Schwere mütterliche Morbidität bei Black und White Personen in Kanada</w:t>
      </w:r>
    </w:p>
    <w:p>
      <w:r>
        <w:rPr>
          <w:i/>
          <w:color w:val="666666"/>
          <w:sz w:val="18"/>
        </w:rPr>
        <w:t>Rajasingham M et al.  ·  CMAJ  ·  04.10.2026  ·  PMID 42833691</w:t>
      </w:r>
    </w:p>
    <w:p>
      <w:r>
        <w:t>Populationsbasierte Kohortenstudie von 2012–2023 zu Rassen- und Geschlechtsvarianten bei schwerer mütterlicher Morbidität (SMM) in Kanada anhand von Hospitalisierungs- und Zensusdaten.</w:t>
      </w:r>
    </w:p>
    <w:p>
      <w:r>
        <w:rPr>
          <w:b/>
        </w:rPr>
        <w:t xml:space="preserve">Ergebnis: </w:t>
      </w:r>
      <w:r>
        <w:t>SMM trat bei 47,8 pro 1000 Geburten bei Black und 27,7 pro 1000 bei White Personen auf. Nach multivariater Anpassung blieb die erhöhte Quote signifikant (adjustierte OR 1,66; 95%-KI 1,53–1,80). Schwere Präeklampsie war häufigste SMM-Typ (Black: 11,1, White: 6,7 pro 1000). Disparität variierte geografisch (größte in New Brunswick, OR 2,28). Auch unter sozioökonomischer Kontrolle persistierte der Unterschied.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vergleichbares englischsprachiges System; zeigt biologisch-klinische Unterschiede im Outcome.</w:t>
      </w:r>
    </w:p>
    <w:p>
      <w:r>
        <w:rPr>
          <w:color w:val="5A7D3A"/>
          <w:sz w:val="18"/>
        </w:rPr>
        <w:t>https://pubmed.ncbi.nlm.nih.gov/42833691/</w:t>
      </w:r>
    </w:p>
    <w:p>
      <w:pPr>
        <w:pStyle w:val="Heading2"/>
      </w:pPr>
      <w:r>
        <w:t>Geografische Distanz zwischen Partnern variiert nach Geschlechtsidentität</w:t>
      </w:r>
    </w:p>
    <w:p>
      <w:r>
        <w:rPr>
          <w:i/>
          <w:color w:val="666666"/>
          <w:sz w:val="18"/>
        </w:rPr>
        <w:t>Wijekoon D et al.  ·  Sex Health  ·  20.10.2026  ·  PMID 42833642</w:t>
      </w:r>
    </w:p>
    <w:p>
      <w:r>
        <w:t>Querschnittsstudie zu Trefforten und geografischen Distanzen zwischen romantischen und gelegentlichen Partnern in Melbourne nach Geschlechtsidentität und sexueller Orientierung.</w:t>
      </w:r>
    </w:p>
    <w:p>
      <w:r>
        <w:rPr>
          <w:b/>
        </w:rPr>
        <w:t xml:space="preserve">Ergebnis: </w:t>
      </w:r>
      <w:r>
        <w:t>Von 2327 Teilnehmern: Mobile Dating-Apps waren häufigste Methode für gelegentliche Partner (41,5%–67,3% je Gruppe). Mittlere Distanzen: romantische Partner 9,5 km (SD=30,7), gelegentliche 9,8 km (SD=25,2), kein signifikanter Unterschied (p=0,805). Trans und gender-diverse Personen meldeten längste durchschnittliche Partner-Distanzen (14,1 km, SD=31,0). Romantische Beziehungen waren lokal, gelegentliche überregional.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ähnlicher Versorgungsauftrag; zeigt Zugangsbarriere zu lokalen Partnern/Services.</w:t>
      </w:r>
    </w:p>
    <w:p>
      <w:r>
        <w:rPr>
          <w:color w:val="5A7D3A"/>
          <w:sz w:val="18"/>
        </w:rPr>
        <w:t>https://pubmed.ncbi.nlm.nih.gov/42833642/</w:t>
      </w:r>
    </w:p>
    <w:p>
      <w:pPr>
        <w:pStyle w:val="Heading2"/>
      </w:pPr>
      <w:r>
        <w:t>GENDER-Q Youth: Internationale Validierung eines Outcome-Messinstruments</w:t>
      </w:r>
    </w:p>
    <w:p>
      <w:r>
        <w:rPr>
          <w:i/>
          <w:color w:val="666666"/>
          <w:sz w:val="18"/>
        </w:rPr>
        <w:t>Klassen AF et al.  ·  JMIR Res Protoc  ·  05.10.2026  ·  PMID 42832758</w:t>
      </w:r>
    </w:p>
    <w:p>
      <w:r>
        <w:t>Protokoll für internationalen Feldtest des GENDER-Q Youth-Instruments zur Messung gesundheitsbezogener Lebensqualität und Erfahrungen von trans und gender-diversen Jugendlichen (12–25 Jahre) unter geschlechtsangleichender Behandlung.</w:t>
      </w:r>
    </w:p>
    <w:p>
      <w:r>
        <w:rPr>
          <w:b/>
        </w:rPr>
        <w:t xml:space="preserve">Ergebnis: </w:t>
      </w:r>
      <w:r>
        <w:t>Instrument mit 16 unabhängig funktionierenden Skalen (248 Items) aus Konzeptelizitations-Interviews mit 47 Jugendlichen, Experten- und Jugendlichenfeedback (33 bzw. 17 Personen) und Pilottest (406 Personen) entwickelt. Feldtest läuft in Kanada, Europa, Australien und USA; Datensammlung und Analyse Ende 2026 erwartet. Rasch-Analyse geplant; Validierungskriterien (≥75% Hypothesenenannahme pro COSMIN) definiert.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 (Dänemark, Niederlande, Deutschland, Kanada, Australien); methodisch robust zur Messung von Versorgungsergebnis.</w:t>
      </w:r>
    </w:p>
    <w:p>
      <w:r>
        <w:rPr>
          <w:color w:val="5A7D3A"/>
          <w:sz w:val="18"/>
        </w:rPr>
        <w:t>https://pubmed.ncbi.nlm.nih.gov/42832758/</w:t>
      </w:r>
    </w:p>
    <w:p>
      <w:pPr>
        <w:pStyle w:val="Heading2"/>
      </w:pPr>
      <w:r>
        <w:t>Finanzielle und partnerschaftliche Stressreduktion für LGBTQ+-Paare</w:t>
      </w:r>
    </w:p>
    <w:p>
      <w:r>
        <w:rPr>
          <w:i/>
          <w:color w:val="666666"/>
          <w:sz w:val="18"/>
        </w:rPr>
        <w:t>Murry SD et al.  ·  J Marital Fam Ther  ·  Okt. 2026  ·  PMID 42817803</w:t>
      </w:r>
    </w:p>
    <w:p>
      <w:r>
        <w:t>Pilottest der Anpassung des TOGETHER-Programms (evidenzbasierte Beziehungs- und Finanzschulung) für LGBTQ+-Personen in Partnerschaften mittels Mixed-Methods-Evaluation von Akzeptabilität, Angemessenheit und Durchführbarkeit.</w:t>
      </w:r>
    </w:p>
    <w:p>
      <w:r>
        <w:rPr>
          <w:b/>
        </w:rPr>
        <w:t xml:space="preserve">Ergebnis: </w:t>
      </w:r>
      <w:r>
        <w:t>31 Teilnehmer (Fragebogen), 12 in Fokusgruppen, 9 Fachpersonen (Interviews). Alle bewerteten Anpassung als akzeptabel, angemessen und durchführbar; hohe Programm-Zufriedenheit. Teilnehmer gaben konkrete Vorschläge zur Curriculumverstärkung und stärkerer LGBTQ+-Spezifität. Finanzstress und Diskriminierung als kumulative Belastung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Pilottest; zeigt praktische Intervention gegen bekannte Zugangsbarriere zu Ressourcen.</w:t>
      </w:r>
    </w:p>
    <w:p>
      <w:r>
        <w:rPr>
          <w:color w:val="5A7D3A"/>
          <w:sz w:val="18"/>
        </w:rPr>
        <w:t>https://pubmed.ncbi.nlm.nih.gov/42817803/</w:t>
      </w:r>
    </w:p>
    <w:p>
      <w:pPr>
        <w:pStyle w:val="Heading2"/>
      </w:pPr>
      <w:r>
        <w:t>Periphere arterielle Erkrankung durch metabolische Risiken: Geschlechtszwillinge mit Altersmustern in China</w:t>
      </w:r>
    </w:p>
    <w:p>
      <w:r>
        <w:rPr>
          <w:i/>
          <w:color w:val="666666"/>
          <w:sz w:val="18"/>
        </w:rPr>
        <w:t>Yuan J et al.  ·  Int J Public Health  ·  15.09.2026  ·  PMID 42812352</w:t>
      </w:r>
    </w:p>
    <w:p>
      <w:r>
        <w:t>Vergleichende Analyse der Krankheitslast periphere arterielle Erkrankung (PAD) attributabel metabolischen Risiken in China vs. G20-Ländern 1990–2035 anhand Global Burden of Disease-Daten.</w:t>
      </w:r>
    </w:p>
    <w:p>
      <w:r>
        <w:rPr>
          <w:b/>
        </w:rPr>
        <w:t xml:space="preserve">Ergebnis: </w:t>
      </w:r>
      <w:r>
        <w:t>2023: China 100.298 DALYs, G20 704.214 DALYs für metabolische PAD. Seit 1990 Anstieg um 210,9% (China) vs. 114,6% (G20). Signifikante Disparitäten nach Alter und Geschlecht; Bevölkerungswachstum und Alterung waren Haupttreiber. Frauen zeigten höhere altersstandarisierte Raten; Prognosen indizieren weiteren Anstieg bis 2035.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China/Global, metabolische Biologie; zeigt geschlechtsspezifische Epidemiologie, aber nicht Versorgungspfade.</w:t>
      </w:r>
    </w:p>
    <w:p>
      <w:r>
        <w:rPr>
          <w:color w:val="5A7D3A"/>
          <w:sz w:val="18"/>
        </w:rPr>
        <w:t>https://pubmed.ncbi.nlm.nih.gov/42812352/</w:t>
      </w:r>
    </w:p>
    <w:p>
      <w:pPr>
        <w:pStyle w:val="Heading2"/>
      </w:pPr>
      <w:r>
        <w:t>Screening-Zugang für trans und nicht-binäre Personen: Barrieren und Lösungen</w:t>
      </w:r>
    </w:p>
    <w:p>
      <w:r>
        <w:rPr>
          <w:i/>
          <w:color w:val="666666"/>
          <w:sz w:val="18"/>
        </w:rPr>
        <w:t>Huber L et al.  ·  Patient Educ Couns  ·  07.09.2026  ·  PMID 42721762</w:t>
      </w:r>
    </w:p>
    <w:p>
      <w:r>
        <w:t>Querschnittsstudie zur Bewusstseinsbildung, Barrieren und Präferenzen für Brust- und Zervixkrebsscreening bei trans und nicht-binären Personen in den Niederlanden nach Einführung der Selbstregistrierungsoption.</w:t>
      </w:r>
    </w:p>
    <w:p>
      <w:r>
        <w:rPr>
          <w:b/>
        </w:rPr>
        <w:t xml:space="preserve">Ergebnis: </w:t>
      </w:r>
      <w:r>
        <w:t>Von 219 Personen, die ihre Geschlechtsregistrierung änderten, waren 81,7% sich bewusst, dass dies Screening-Einladungen beeinflusst, aber nur 50,2% kannten die Selbstregistrierungsoption. Hauptbarrieren waren Unbehagen bei Untersuchungen, Gender-Dysphoria und verpasste Einladungen. 64,7% bevorzugten HPV-Selbstabstrich gegenüber Pap-Abstrich. Geschlechtssensible Schulung des Fachpersonals und bessere Awareness sind notwendig.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Niederländisches System, vergleichbare Sozialversicherung; Ergebnis zeigt Zugangsbarriere.</w:t>
      </w:r>
    </w:p>
    <w:p>
      <w:r>
        <w:rPr>
          <w:color w:val="5A7D3A"/>
          <w:sz w:val="18"/>
        </w:rPr>
        <w:t>https://pubmed.ncbi.nlm.nih.gov/42721762/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2026-10-06T06:00:00Z</dcterms:created>
  <dcterms:modified xsi:type="dcterms:W3CDTF">2026-10-06T06:00:00Z</dcterms:modified>
  <cp:category/>
</cp:coreProperties>
</file>