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30.08.2026  |  6 Studien  |  gender.m-vf.de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Psychische Versorgung für Trans-Menschen: Mehr Kontakt, schlechtere Ergebnisse</w:t>
      </w:r>
    </w:p>
    <w:p>
      <w:r>
        <w:rPr>
          <w:i/>
          <w:color w:val="666666"/>
          <w:sz w:val="18"/>
        </w:rPr>
        <w:t>Breslow AS et al.  ·  Am Psychol  ·  Sept. 2026  ·  PMID 42658622</w:t>
      </w:r>
    </w:p>
    <w:p>
      <w:r>
        <w:t>Retrospektive Kohortenstudie aus großer New Yorker Klinik (2015-2023) mit 2.898 trans und 29.818 cis Patienten zu psychischen Ergebnissen und Versorgungszugang in vermeintlich trans-freundlicher Umgebung.</w:t>
      </w:r>
    </w:p>
    <w:p>
      <w:r>
        <w:rPr>
          <w:b/>
        </w:rPr>
        <w:t xml:space="preserve">Ergebnis: </w:t>
      </w:r>
      <w:r>
        <w:t>Trans-Patienten hatten doppelt so hohe Rate psychischer Erkrankungen wie cis-Patienten (alle p &lt; 0,001), einschließlich Stimmungsstörungen (10,9 % vs. 2,6 %) und Angststörungen (9,7 % vs. 3,1 %). Trotz höherem Versorgungskontakt (40,92 % vs. 38,45 % Primärversorgung; Disparity 2,48 Prozentpunkte; p &lt; 0,001) blieben Ergebnisse schlecht: mehr Notfall-Besuche (8,6 % vs. 6,4 %), Suizidversuche (2,3 % vs. 1,2 %) und Hospitalisierungen (p &lt; 0,001). Schwarze und hispanische trans-Patienten zeigten additive Disparitäten – demonstriert Versorgungsparadox: mehr Zugang, aber persistente schlechtere Ergebnisse, wahrscheinlich wegen systemischer Barrieren jenseits von Verfügbarkeit.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Befund zur Kluft zwischen Zugang und Outcome relevant für alle Systeme.</w:t>
      </w:r>
    </w:p>
    <w:p>
      <w:r>
        <w:rPr>
          <w:color w:val="5A7D3A"/>
          <w:sz w:val="18"/>
        </w:rPr>
        <w:t>https://pubmed.ncbi.nlm.nih.gov/42658622/</w:t>
      </w:r>
    </w:p>
    <w:p>
      <w:pPr>
        <w:pStyle w:val="Heading2"/>
      </w:pPr>
      <w:r>
        <w:t>Eiweißmangel erhöht Sturzfrakturen bei älteren Frauen um 73%</w:t>
      </w:r>
    </w:p>
    <w:p>
      <w:r>
        <w:rPr>
          <w:i/>
          <w:color w:val="666666"/>
          <w:sz w:val="18"/>
        </w:rPr>
        <w:t>Ziller SG et al.  ·  PLoS One  ·  22.07.2026  ·  PMID 42485356</w:t>
      </w:r>
    </w:p>
    <w:p>
      <w:r>
        <w:t>Sekundäranalyse aus der Women's Health Initiative (n = 6.580, davon 1.285 Stürzer) zu Zusammenhang zwischen Proteinzufuhr und Verletzungsfolgen bei Stürzen im Alter.</w:t>
      </w:r>
    </w:p>
    <w:p>
      <w:r>
        <w:rPr>
          <w:b/>
        </w:rPr>
        <w:t xml:space="preserve">Ergebnis: </w:t>
      </w:r>
      <w:r>
        <w:t>Von 1.285 Sturzpatienten erlitten 444 (34,6 %) Verletzungen und 70 (7,7 %) Frakturen. Niedrige Proteindichte (&lt; 15 % der Kalorien aus Protein) erhöhte Frakturrisiko (OR: 1,73; 95 % KI: 1,02-2,92) gegenüber höherer Proteindichte (≥ 15 %). Bei Frauen mit Diabetesmedikation und niedriger Proteindichte war OR für jede Verletzung 5,54 (95 % KI: 1,79-17,19) – zeigt biologisch-nutritive Komponente eines bekannten Unterschieds mit therapeutischer Konsequenz.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Ernährungsintervention unabhängig von Versorgungssystem übertragbar.</w:t>
      </w:r>
    </w:p>
    <w:p>
      <w:r>
        <w:rPr>
          <w:color w:val="5A7D3A"/>
          <w:sz w:val="18"/>
        </w:rPr>
        <w:t>https://pubmed.ncbi.nlm.nih.gov/42485356/</w:t>
      </w:r>
    </w:p>
    <w:p>
      <w:pPr>
        <w:pStyle w:val="Heading2"/>
      </w:pPr>
      <w:r>
        <w:t>Geschlechtergerechtigkeit in gynäkologischer Onkologie: Parität bei Mitgliedschaft, nicht in Führung</w:t>
      </w:r>
    </w:p>
    <w:p>
      <w:r>
        <w:rPr>
          <w:i/>
          <w:color w:val="666666"/>
          <w:sz w:val="18"/>
        </w:rPr>
        <w:t>Zwimpfer TA et al.  ·  Int J Gynecol Cancer  ·  13.06.2026  ·  PMID 42430843</w:t>
      </w:r>
    </w:p>
    <w:p>
      <w:r>
        <w:t>Longitudinalanalyse der Europäischen Gesellschaft für Gynäkologische Onkologie 2013-2024 zu geschlechtsbezogenen und regionalen Unterschieden in Mitgliedschaft und Governance-Vertretung.</w:t>
      </w:r>
    </w:p>
    <w:p>
      <w:r>
        <w:rPr>
          <w:b/>
        </w:rPr>
        <w:t xml:space="preserve">Ergebnis: </w:t>
      </w:r>
      <w:r>
        <w:t>Frauenanteil in Mitgliedschaft stieg von 2013 auf 2024 und erreichte 2024 Parität (OR für Frauenmitgliedschaft: 1,04 pro Jahr; 95 % KI 1,03-1,05; p &lt; 0,001), während Geschlecht nicht mit Ratsmitgliedschaft assoziiert war (OR 0,95; 95 % KI 0,63-1,42; p = 0,79). Regionale Unterschiede waren signifikant: Frauen in Nordeuropa hatten höhere Chancen (OR 1,69; 95 % KI 1,55-1,84) als in Osteuropa (OR 0,78; 95 % KI 0,71-0,85) – zeigt, dass strukturelle und geografische Faktoren Governance-Repräsentation stärker beeinflussen als Geschlecht.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Fachgesellschaften, DACH eingeschlossen, systemische Faktoren übertragbar.</w:t>
      </w:r>
    </w:p>
    <w:p>
      <w:r>
        <w:rPr>
          <w:color w:val="5A7D3A"/>
          <w:sz w:val="18"/>
        </w:rPr>
        <w:t>https://pubmed.ncbi.nlm.nih.gov/42430843/</w:t>
      </w:r>
    </w:p>
    <w:p>
      <w:pPr>
        <w:pStyle w:val="Heading2"/>
      </w:pPr>
      <w:r>
        <w:t>Körperzusammensetzung nach Lebensstiländerung: Männer bauen mehr Muskel auf</w:t>
      </w:r>
    </w:p>
    <w:p>
      <w:r>
        <w:rPr>
          <w:i/>
          <w:color w:val="666666"/>
          <w:sz w:val="18"/>
        </w:rPr>
        <w:t>Novák A et al.  ·  Med Pr  ·  16.07.2026  ·  PMID 42422889</w:t>
      </w:r>
    </w:p>
    <w:p>
      <w:r>
        <w:t>Quasi-experimentale Pilotstudie mit 40 Angehörigen der ungarischen Verteidigungstruppen (21 Männer, 19 Frauen), Alter 24-55, in 6-Monats-Intervention mit Ernährungsberatung, betreutem Training 3x/Woche und kognitiver Verhaltensgruppe.</w:t>
      </w:r>
    </w:p>
    <w:p>
      <w:r>
        <w:rPr>
          <w:b/>
        </w:rPr>
        <w:t xml:space="preserve">Ergebnis: </w:t>
      </w:r>
      <w:r>
        <w:t>Beide Geschlechter verbesserten sich: Männer reduzierten Körpergewicht um 9,25 ± 11,68 kg (p = 0,001), Frauen um 5,79 ± 5,88 kg (p = 0,005); Körperfettanteil sank bei Männern um 3,77 ± 4,94 % (p = 0,011), bei Frauen um 2,66 ± 3,53 % (p = 0,030). Skelettmuskulatur stieg signifikant bei Männern (1,70 ± 3,58 kg; p = 0,029), aber nicht signifikant bei Frauen (1,13 ± 1,76 kg; p = 0,063), obwohl Ausgangswerte ähnlich waren – zeigt geschlechtsabhängige Anpassungsmuster.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 (DACH-ähnlich), vergleichbares Gesundheitssystem, Routine-Daten.</w:t>
      </w:r>
    </w:p>
    <w:p>
      <w:r>
        <w:rPr>
          <w:color w:val="5A7D3A"/>
          <w:sz w:val="18"/>
        </w:rPr>
        <w:t>https://pubmed.ncbi.nlm.nih.gov/42422889/</w:t>
      </w:r>
    </w:p>
    <w:p>
      <w:pPr>
        <w:pStyle w:val="Heading2"/>
      </w:pPr>
      <w:r>
        <w:t>Lungenkrebs: Frauen überleben länger, aber nicht wegen besserer Behandlung</w:t>
      </w:r>
    </w:p>
    <w:p>
      <w:r>
        <w:rPr>
          <w:i/>
          <w:color w:val="666666"/>
          <w:sz w:val="18"/>
        </w:rPr>
        <w:t>Templement-Grangerat D et al.  ·  Lung Cancer  ·  20.06.2026  ·  PMID 42341535</w:t>
      </w:r>
    </w:p>
    <w:p>
      <w:r>
        <w:t>Analyse von 3.095 Frauen und 5.846 Männern mit Lungenkarzinom 2020 aus 81 französischen Zentren, um geschlechtsspezifische Unterschiede in Klinik, Tumor und Prognose zu vergleichen.</w:t>
      </w:r>
    </w:p>
    <w:p>
      <w:r>
        <w:rPr>
          <w:b/>
        </w:rPr>
        <w:t xml:space="preserve">Ergebnis: </w:t>
      </w:r>
      <w:r>
        <w:t>Frauen hatten ein besseres Gesamtüberleben als Männer (4-Jahres-OS: 34,7 % vs. 23,7 %; Median-OS: 21,9 vs. 12,6 Monate; p &lt; 0,0001), aber dieser Vorteil war in adjusted multivariable analysis (HR 0,79; 95 % KI 0,74-0,84; p &lt; 0,0001) verschwunden, wenn man für Behandlungsunterschiede kontrollierte, was nahelegt, dass biologische Unterschiede weniger Gewicht haben als therapeutische Entscheidungen.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europäische Versorgungssysteme und Dokumentation.</w:t>
      </w:r>
    </w:p>
    <w:p>
      <w:r>
        <w:rPr>
          <w:color w:val="5A7D3A"/>
          <w:sz w:val="18"/>
        </w:rPr>
        <w:t>https://pubmed.ncbi.nlm.nih.gov/42341535/</w:t>
      </w:r>
    </w:p>
    <w:p>
      <w:pPr>
        <w:pStyle w:val="Heading2"/>
      </w:pPr>
      <w:r>
        <w:t>Geschlechterunterschied bei Verzicht auf Intensivtherapie: Frauen früher, Männer später</w:t>
      </w:r>
    </w:p>
    <w:p>
      <w:r>
        <w:rPr>
          <w:i/>
          <w:color w:val="666666"/>
          <w:sz w:val="18"/>
        </w:rPr>
        <w:t>Amacher SA et al.  ·  Crit Care  ·  19.06.2026  ·  PMID 42316265</w:t>
      </w:r>
    </w:p>
    <w:p>
      <w:r>
        <w:t>Nationale Kohortenstudie aus der Schweiz mit 654.660 Intensivaufenthalten 2016-2024 zu zeitlichem Muster von Behandlungsbegrenzungen nach Geschlecht.</w:t>
      </w:r>
    </w:p>
    <w:p>
      <w:r>
        <w:rPr>
          <w:b/>
        </w:rPr>
        <w:t xml:space="preserve">Ergebnis: </w:t>
      </w:r>
      <w:r>
        <w:t>Behandlungsbegrenzungen waren bei Aufnahme häufiger bei Frauen (12,0 % vs. 8,6 %), aber während des Aufenthalts ähnlich (5,5 % vs. 5,5 %). Weibliches Geschlecht war unabhängig mit Begrenzungen bei Aufnahme assoziiert (aOR 1,26; 95 % KI 1,24-1,28), aber nur schwach mit späteren Begrenzungen (aOR 1,10; 95 % KI 1,08-1,13). Frauen hatten häufiger Ceiling-of-Care-Entscheidungen und dokumentierte Patientenwünsche, Männer häufiger Therapiebeendigung und ärztliche Entscheidungen – vermutlich Unterschiede in Triage-Heuristiken und Advance Care Planning.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hochwertige Klinikdaten, DACH-System vergleichbar.</w:t>
      </w:r>
    </w:p>
    <w:p>
      <w:r>
        <w:rPr>
          <w:color w:val="5A7D3A"/>
          <w:sz w:val="18"/>
        </w:rPr>
        <w:t>https://pubmed.ncbi.nlm.nih.gov/42316265/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