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Geschlechtersensible Medizin</w:t>
      </w:r>
    </w:p>
    <w:p>
      <w:r>
        <w:rPr>
          <w:i/>
          <w:color w:val="666666"/>
          <w:sz w:val="18"/>
        </w:rPr>
        <w:t>Stand: 15.10.2026  |  6 Studien  |  gender.m-vf.de</w:t>
      </w:r>
    </w:p>
    <w:p>
      <w:pPr>
        <w:pStyle w:val="Heading1"/>
      </w:pPr>
      <w:r>
        <w:t>Aufgenommen am 15.10.2026</w:t>
      </w:r>
    </w:p>
    <w:p>
      <w:pPr>
        <w:pStyle w:val="Heading2"/>
      </w:pPr>
      <w:r>
        <w:t>PrEP-Zugang: Sexuelle Orientierung und Geschlechtsidentität fehlen – Unterschiede bleiben unsichtbar</w:t>
      </w:r>
    </w:p>
    <w:p>
      <w:r>
        <w:rPr>
          <w:i/>
          <w:color w:val="666666"/>
          <w:sz w:val="18"/>
        </w:rPr>
        <w:t>Khurana D et al.  ·  JAMA Netw Open  ·  01.10.2026  ·  PMID 42873499</w:t>
      </w:r>
    </w:p>
    <w:p>
      <w:r>
        <w:t>Querschnittstudie in einem US-Sicherheitsnetz-Gesundheitssystem (165.198 Erwachsene, Daten 2019–2025) zur Frage, wie fehlende oder unvollständige Daten zu sexueller Orientierung und Geschlechtsidentität (SOGI) die Erkennung von Disparitäten in dokumentierten PrEP-Verordnungen beeinflusst.</w:t>
      </w:r>
    </w:p>
    <w:p>
      <w:r>
        <w:rPr>
          <w:b/>
        </w:rPr>
        <w:t xml:space="preserve">Ergebnis: </w:t>
      </w:r>
      <w:r>
        <w:t>Bei vollständiger SOGI-Erfassung: LGB+ cisgender Männer hatten 26,7 Prozentpunkte höhere bereinigte Wahrscheinlichkeit für PrEP als Heterosexuelle (95%-KI 24,9–28,5; p&lt;0,001); trans/diverse Männer 12,3 Prozentpunkte höher als cisgender Männer (95%-KI 7,0–17,6; p&lt;0,001). Bei reiner Erfassung von biologischem Geschlecht: nur 1,4-Prozentpunkt-Unterschied messbar (Geschlechtsidentitäts-Unterschiede nicht abbildbar). Bei 80–90% fehlenden SOGI-Daten sinkt Nachweisbarkeit der Geschlechtsidentitäts-Unterschiede dramatisch auf 19,2%. Zeigt: Ohne SOGI-Daten verschwinden Versorgungsungleichheiten von minoritären Gruppen aus Überwachung.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USA-System mit anderen Zugangshürden; methodische Lektion für deutsches Monitoring – erfordert Implementierung strukturierter SOGI-Datenerfassung.</w:t>
      </w:r>
    </w:p>
    <w:p>
      <w:r>
        <w:rPr>
          <w:color w:val="5A7D3A"/>
          <w:sz w:val="18"/>
        </w:rPr>
        <w:t>https://pubmed.ncbi.nlm.nih.gov/42873499/</w:t>
      </w:r>
    </w:p>
    <w:p>
      <w:pPr>
        <w:pStyle w:val="Heading2"/>
      </w:pPr>
      <w:r>
        <w:t>Luftverschmutzung und Gehirnentzündung: Frauen sind neuroinflammatorisch anfälliger</w:t>
      </w:r>
    </w:p>
    <w:p>
      <w:r>
        <w:rPr>
          <w:i/>
          <w:color w:val="666666"/>
          <w:sz w:val="18"/>
        </w:rPr>
        <w:t>Vilor-Tejedor N et al.  ·  Alzheimers Dement  ·  Okt. 2026  ·  PMID 42872554</w:t>
      </w:r>
    </w:p>
    <w:p>
      <w:r>
        <w:t>Prospektive Kohortenstudie (226 kognitiv unbeeinträchtigte mittelalte Personen mit AD-Risiko aus ALFA+ Barcelona) mit Messung der Langzeit-Exposition gegenüber Stickstoffdioxid und Feinstaub sowie 3-Jahres-Verlauf von Hirnflüssigkeits-Biomarkern für neuroinflammation und Astrozyten-Aktivierung.</w:t>
      </w:r>
    </w:p>
    <w:p>
      <w:r>
        <w:rPr>
          <w:b/>
        </w:rPr>
        <w:t xml:space="preserve">Ergebnis: </w:t>
      </w:r>
      <w:r>
        <w:t>Geschlechtsspezifische Assoziationen zwischen Luftverschmutzung und CSF-Biomarkern beobachtet: Höhere Exposition mit longitudinalen Anstiegen von Glial Fibrillary Acidic Protein (GFAP) und Interleukin-6 primär bei Frauen. GFAP mediierte teilweise Assoziationen zwischen Luftverschmutzung und Verschlechterung der exekutiven und Aufmerksamkeitsleistung. Befund deutet auf biologisch unterschiedliche neurotoxische Suszeptibilität hin – nicht auf Expositions- oder Zugangsunterschiede.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(Spanien, Niederlande); Luftqualitätsexposition und Biomarker-Monitoring sind auf deutsche Kohorten übertragbar.</w:t>
      </w:r>
    </w:p>
    <w:p>
      <w:r>
        <w:rPr>
          <w:color w:val="5A7D3A"/>
          <w:sz w:val="18"/>
        </w:rPr>
        <w:t>https://pubmed.ncbi.nlm.nih.gov/42872554/</w:t>
      </w:r>
    </w:p>
    <w:p>
      <w:pPr>
        <w:pStyle w:val="Heading2"/>
      </w:pPr>
      <w:r>
        <w:t>Hirnreserve bei Alzheimer: Frauen halten länger stand, degenerieren dann schneller</w:t>
      </w:r>
    </w:p>
    <w:p>
      <w:r>
        <w:rPr>
          <w:i/>
          <w:color w:val="666666"/>
          <w:sz w:val="18"/>
        </w:rPr>
        <w:t>Liu X et al.  ·  Alzheimers Dement  ·  Okt. 2026  ·  PMID 42869847</w:t>
      </w:r>
    </w:p>
    <w:p>
      <w:r>
        <w:t>Multimodale Analyse von 1.099 kognitiv beeinträchtigten oder dementen Personen (ADNI und NACC) mit Vergleich von Gehirnvolumen, Tau-Pathologie und Konversionsverlauf nach Geschlecht.</w:t>
      </w:r>
    </w:p>
    <w:p>
      <w:r>
        <w:rPr>
          <w:b/>
        </w:rPr>
        <w:t xml:space="preserve">Ergebnis: </w:t>
      </w:r>
      <w:r>
        <w:t>Frauen mit leichter kognitiver Beeinträchtigung zeigten größeres Grundvolumen grauer Substanz als Männer (besonders in Thalamus, Putamen, Cerebellum), aber höhere Baseline-Phosphorylierung (GAP-43) und größere Tau-Last in temporal-parietal regions. Trotz besserer struktureller Reserve: schnellere jährliche Hippocampus-Atrophie bei Frauen. Konversionsrate MCI → Demenz ähnlich. Deutet auf unterschiedliche Krankheitstrajektorien hin – Frauen kompensieren länger, durchlaufen dann raschere Neurodegeneration.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 (ADNI international); Befund zur Biologie ist übertragbar, erfordert aber europäische Validierung und geschlechtsgerechte Biomarker-Leitlinien.</w:t>
      </w:r>
    </w:p>
    <w:p>
      <w:r>
        <w:rPr>
          <w:color w:val="5A7D3A"/>
          <w:sz w:val="18"/>
        </w:rPr>
        <w:t>https://pubmed.ncbi.nlm.nih.gov/42869847/</w:t>
      </w:r>
    </w:p>
    <w:p>
      <w:pPr>
        <w:pStyle w:val="Heading2"/>
      </w:pPr>
      <w:r>
        <w:t>Doxycyclin-Prophylaxe bei MSM in China: Bewusstsein niedrig, Inanspruchnahme minimal trotz Bereitschaft</w:t>
      </w:r>
    </w:p>
    <w:p>
      <w:r>
        <w:rPr>
          <w:i/>
          <w:color w:val="666666"/>
          <w:sz w:val="18"/>
        </w:rPr>
        <w:t>Yin Z et al.  ·  Sex Health  ·  20.10.2026  ·  PMID 42863506</w:t>
      </w:r>
    </w:p>
    <w:p>
      <w:r>
        <w:t>Nationale Online-Querschnittsbefragung (1.022 cisgender MSM, mittleres Alter 29 Jahre, November 2024–Februar 2025) zu Kenntnis, Bereitschaft und tatsächlicher Nutzung von Doxycyclin-Post-Expositions-Prophylaxe gegen Syphilis und Chlamydia.</w:t>
      </w:r>
    </w:p>
    <w:p>
      <w:r>
        <w:rPr>
          <w:b/>
        </w:rPr>
        <w:t xml:space="preserve">Ergebnis: </w:t>
      </w:r>
      <w:r>
        <w:t>55,1% kannten DoxyPEP, 42,7% berichteten Bereitschaft, 12,8% hatten es bereits genutzt. Kenntnis assoziiert mit vorheriger PrEP-Nutzung (adjustierte PR 1,47; 95%-KI 1,31–1,65) und rezenter sexueller Aktivität mit weiblichen Partnern (aPR 1,42; 95%-KI 1,23–1,64). Bereitschaft assoziiert mit mehreren gelegentlichen Partnern (aPR 1,41), kommerziellem Sex (aPR 1,31) und PrEP-Erfahrung (aPR 1,22). Hauptbarrieren: unzureichende Information (72,7%), Nebenwirkungsbedenken (35,5%), Wirksamkeitszweifel (30,6%). Tatsächliche Nutzung mit mehreren Partnern (aPR 2,17), kommerziellem Sex (aPR 1,63) und DoxyPEP-Kenntnis (aPR 14,60) assoziiert. Zeigt: Wissensdefizit und Barrieren in der Gesundheitskommunikation begrenzen Prävention, nicht biologische 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Befund zu Zugangsbarrieren und Wissensdefiziten ist auf deutsche MSM-Versorgung übertragbar – erfordert gezielte Aufklärung im STI-Präventionssystem.</w:t>
      </w:r>
    </w:p>
    <w:p>
      <w:r>
        <w:rPr>
          <w:color w:val="5A7D3A"/>
          <w:sz w:val="18"/>
        </w:rPr>
        <w:t>https://pubmed.ncbi.nlm.nih.gov/42863506/</w:t>
      </w:r>
    </w:p>
    <w:p>
      <w:pPr>
        <w:pStyle w:val="Heading2"/>
      </w:pPr>
      <w:r>
        <w:t>Integrierte Müttergesundheit: Design-Prozess identifiziert Koordinationslücken zwischen Klinik und Gemeinschaft</w:t>
      </w:r>
    </w:p>
    <w:p>
      <w:r>
        <w:rPr>
          <w:i/>
          <w:color w:val="666666"/>
          <w:sz w:val="18"/>
        </w:rPr>
        <w:t>Saragosa AC et al.  ·  Front Public Health  ·  23.09.2026  ·  PMID 42846009</w:t>
      </w:r>
    </w:p>
    <w:p>
      <w:r>
        <w:t>Qualitative Mixed-Methods-Studie mit Human-Centered-Design-Workshops (April–Juli 2024) mit 35 Teilnehmenden (Schwangere/Postpartum-Frauen, klinisches Personal, Care-Koordinatoren) zur Identifikation von Versorgungsbedarfen und Empfehlungen für integrierte Müttergesundheitsservices in Südnevada.</w:t>
      </w:r>
    </w:p>
    <w:p>
      <w:r>
        <w:rPr>
          <w:b/>
        </w:rPr>
        <w:t xml:space="preserve">Ergebnis: </w:t>
      </w:r>
      <w:r>
        <w:t>Vier Kategorien von Empfehlungen für Programmdesign identifiziert: (1) Schwangerschaftsbedarfe (Fokus auf schwangere Frau und soziales Umfeld), (2) Spezialist:innen-Bedarfe (Integration von Doulas, Hebammen, weiteren Fachpersonen in Koordination), (3) Gemeinschaftssystem-Bedarfe (koordinierte Outreach-Systeme für vulnerable Populationen), (4) Gesundheitssystem-Bedarfe (Schulungen für klinisches Personal). Kernerkenntnis: Fragmentierung zwischen klinischer und gemeinschaftlicher Ebene ist Haupthindernis – Versorgungsungleichheit entsteht durch strukturelle Silos, nicht allein durch biologische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Methodology und Silos-Problematik sind auf deutsches Gesundheitssystem übertragbar – erfordert Evaluierung bestehender Schnittstellen zwischen Kliniken und Schwangerschaftsberatung.</w:t>
      </w:r>
    </w:p>
    <w:p>
      <w:r>
        <w:rPr>
          <w:color w:val="5A7D3A"/>
          <w:sz w:val="18"/>
        </w:rPr>
        <w:t>https://pubmed.ncbi.nlm.nih.gov/42846009/</w:t>
      </w:r>
    </w:p>
    <w:p>
      <w:pPr>
        <w:pStyle w:val="Heading2"/>
      </w:pPr>
      <w:r>
        <w:t>Antipsychotika bei Schizophrenie: Keine Unterschiede in Wirksamkeit, aber Frauen profitieren mehr von Dropout-Reduktion</w:t>
      </w:r>
    </w:p>
    <w:p>
      <w:r>
        <w:rPr>
          <w:i/>
          <w:color w:val="666666"/>
          <w:sz w:val="18"/>
        </w:rPr>
        <w:t>Furukawa Y et al.  ·  Lancet Psychiatry  ·  30.09.2026  ·  PMID 42815510</w:t>
      </w:r>
    </w:p>
    <w:p>
      <w:r>
        <w:t>Netzwerk-Metaanalyse von 18 randomisierten Studien (7.062 Teilnehmende, 2.168 Frauen, 4.894 Männer) zur Wirksamkeit von Antipsychotika bei akuter Schizophrenie mit Geschlechtsvergleich.</w:t>
      </w:r>
    </w:p>
    <w:p>
      <w:r>
        <w:rPr>
          <w:b/>
        </w:rPr>
        <w:t xml:space="preserve">Ergebnis: </w:t>
      </w:r>
      <w:r>
        <w:t>Keine Unterschiede zwischen Frauen und Männern in der Symptomreduktion (DoSMD 0,04; 95%-KI –0,09 bis 0,18) oder Dosis-Wirkungs-Beziehungen. Antipsychotika reduzierten jedoch die Studienabbrüche bei Frauen stärker als bei Männern (Odds-Ratio-Verhältnis 0,74; 95%-KI 0,56–0,98). Prolaktin-Anstieg war bei Frauen ausgeprägter (DoSMD 0,83; 95%-KI 0,67–0,99). Befund zeigt: Biologische Wirksamkeit ist geschlechtsunabhängig, aber Adhärenz und Nebenwirkungsprofil unterscheiden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(Deutschland, Niederlande, Schweiz); vergleichbar mit deutschem Versorgungssystem.</w:t>
      </w:r>
    </w:p>
    <w:p>
      <w:r>
        <w:rPr>
          <w:color w:val="5A7D3A"/>
          <w:sz w:val="18"/>
        </w:rPr>
        <w:t>https://pubmed.ncbi.nlm.nih.gov/42815510/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Geschlechtersensible Medizin</dc:title>
  <dc:subject/>
  <dc:creator>Monitor Versorgungsforschung</dc:creator>
  <cp:keywords/>
  <dc:description>generated by python-docx</dc:description>
  <cp:lastModifiedBy/>
  <cp:revision>1</cp:revision>
  <dcterms:created xsi:type="dcterms:W3CDTF">2026-10-15T06:00:00Z</dcterms:created>
  <dcterms:modified xsi:type="dcterms:W3CDTF">2026-10-15T06:00:00Z</dcterms:modified>
  <cp:category/>
</cp:coreProperties>
</file>