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26.10.2026  |  6 Studien  |  gender.m-vf.de</w:t>
      </w:r>
    </w:p>
    <w:p>
      <w:pPr>
        <w:pStyle w:val="Heading1"/>
      </w:pPr>
      <w:r>
        <w:t>Aufgenommen am 26.10.2026</w:t>
      </w:r>
    </w:p>
    <w:p>
      <w:pPr>
        <w:pStyle w:val="Heading2"/>
      </w:pPr>
      <w:r>
        <w:t>Blutdruckabfall im Alter: Bei Frauen stärkerer Zusammenhang mit Hirngeßverschluss</w:t>
      </w:r>
    </w:p>
    <w:p>
      <w:r>
        <w:rPr>
          <w:i/>
          <w:color w:val="666666"/>
          <w:sz w:val="18"/>
        </w:rPr>
        <w:t>Baumgartner NW et al.  ·  Acta Neuropathol  ·  24.10.2026  ·  PMID 42925335</w:t>
      </w:r>
    </w:p>
    <w:p>
      <w:r>
        <w:t>Die Studie untersuchte an 2033 Verstorbenen (Durchschnittsalter 89,8 Jahre), ob der Zusammenhang zwischen sinkendem systolischem Blutdruck im höheren Alter und Hirngeßveränderungen bei Frauen und Männern unterschiedlich ausfällt.</w:t>
      </w:r>
    </w:p>
    <w:p>
      <w:r>
        <w:rPr>
          <w:b/>
        </w:rPr>
        <w:t xml:space="preserve">Ergebnis: </w:t>
      </w:r>
      <w:r>
        <w:t>Ein schnellerer systolischer Blutdruckabfall war mit stärkerer Arteriolosklerose (OR = 1,24; 95% KI 1,08–1,42) und Atherosklerose (OR = 1,41; 95% KI 1,22–1,63) assoziiert. Eine Geschlechts-Wechselwirkung (p = 0,01) zeigte einen stärkeren Zusammenhang zwischen Blutdruckabfall und Arteriolosklerose-Schweregrad bei Frauen als bei Männern. Die Befunde deuten auf biologische Unterschiede in der Geßpathologie hin.</w:t>
      </w:r>
    </w:p>
    <w:p>
      <w:r>
        <w:rPr>
          <w:b/>
          <w:sz w:val="19"/>
        </w:rPr>
        <w:t xml:space="preserve">Übertragbarkeit: </w:t>
      </w:r>
      <w:r>
        <w:rPr>
          <w:sz w:val="19"/>
        </w:rPr>
        <w:t>USA-Daten; biologische Unterschiede sind zentral, nicht Zugangs- oder Deutungsfaktoren.</w:t>
      </w:r>
    </w:p>
    <w:p>
      <w:r>
        <w:rPr>
          <w:color w:val="5A7D3A"/>
          <w:sz w:val="18"/>
        </w:rPr>
        <w:t>https://pubmed.ncbi.nlm.nih.gov/42925335/</w:t>
      </w:r>
    </w:p>
    <w:p>
      <w:pPr>
        <w:pStyle w:val="Heading2"/>
      </w:pPr>
      <w:r>
        <w:t>Endometriumkarzinom: Weiße Frauen 44 % höheres Risiko als Schwarze</w:t>
      </w:r>
    </w:p>
    <w:p>
      <w:r>
        <w:rPr>
          <w:i/>
          <w:color w:val="666666"/>
          <w:sz w:val="18"/>
        </w:rPr>
        <w:t>Adekanmbi V et al.  ·  J Glob Health  ·  23.10.2026  ·  PMID 42924636</w:t>
      </w:r>
    </w:p>
    <w:p>
      <w:r>
        <w:t>Die Studie verfolgte 81171 Frauen (ohne Endometriumkarzinom zu Studienbeginn) aus dem All of Us-Register bis Oktober 2023 (Median 6,6 Jahre) und prüfte individuelle und nachbarschaftliche Risikofaktoren für Krebsinzidenz.</w:t>
      </w:r>
    </w:p>
    <w:p>
      <w:r>
        <w:rPr>
          <w:b/>
        </w:rPr>
        <w:t xml:space="preserve">Ergebnis: </w:t>
      </w:r>
      <w:r>
        <w:t>778 Frauen (0,96 %) entwickelten Endometriumkarzinom. Nicht-hispanische Weiße Frauen hatten 44 % höheres Risiko als nicht-hispanische Schwarze (aHR = 1,44; 95% KI 1,15–1,80). Risiko stieg mit Alter (50–59 J: aHR = 2,92; ≥70 J: aHR = 2,86). Adipositas verdoppelte Risiko (aHR = 2,16; 95% KI 1,85–2,52), Diabetes erhöhte es um 27 % (aHR = 1,27; 95% KI 1,06–1,51). Ethnische Unterschiede erklärt primär durch biologische/metabolische Faktoren (Adipositas), nicht Zugang.</w:t>
      </w:r>
    </w:p>
    <w:p>
      <w:r>
        <w:rPr>
          <w:b/>
          <w:sz w:val="19"/>
        </w:rPr>
        <w:t xml:space="preserve">Übertragbarkeit: </w:t>
      </w:r>
      <w:r>
        <w:rPr>
          <w:sz w:val="19"/>
        </w:rPr>
        <w:t>USA-Routinedaten; biologische Unterschiede zentral, aber ethnische Disparitäten in Adipositas-Prävalenz sind sozialstrukturell bedingt.</w:t>
      </w:r>
    </w:p>
    <w:p>
      <w:r>
        <w:rPr>
          <w:color w:val="5A7D3A"/>
          <w:sz w:val="18"/>
        </w:rPr>
        <w:t>https://pubmed.ncbi.nlm.nih.gov/42924636/</w:t>
      </w:r>
    </w:p>
    <w:p>
      <w:pPr>
        <w:pStyle w:val="Heading2"/>
      </w:pPr>
      <w:r>
        <w:t>LGBTQ+-Ältere in Kalifornien: Alter weniger relevant als strukturelle Faktoren</w:t>
      </w:r>
    </w:p>
    <w:p>
      <w:r>
        <w:rPr>
          <w:i/>
          <w:color w:val="666666"/>
          <w:sz w:val="18"/>
        </w:rPr>
        <w:t>Vupputuri P et al.  ·  Front Public Health  ·  08.10.2026  ·  PMID 42923145</w:t>
      </w:r>
    </w:p>
    <w:p>
      <w:r>
        <w:t>Die Studie analysierte 3713 LGBTQ+-Erwachsene ab 50 Jahren in Kalifornien, um zu prüfen, ob chronologisches Alter unabhängig von strukturellen Faktoren mit ungedecktem Versorgungsbedarf assoziiert ist.</w:t>
      </w:r>
    </w:p>
    <w:p>
      <w:r>
        <w:rPr>
          <w:b/>
        </w:rPr>
        <w:t xml:space="preserve">Ergebnis: </w:t>
      </w:r>
      <w:r>
        <w:t>36,6 % berichteten mindestens einen ungedeckten Gesundheits- oder Sozialhilfebedarf. In unveradjustierten Analysen war höheres Alter mit niedrigerem Risiko assoziiert (OR 0,90 pro 10 Jahre; 95% KI 0,83–0,97; p = 0,008), aber dieser Effekt verschwand nach vollständiger Adjustierung für finanzielle Unsicherheit, Transportbarrieren, schlechte physische Gesundheit, Depression, HIV-Status, Wohnungsinstabilität, Betreuungsbedarf und Rassismus (aOR 1,08; 95% KI 0,98–1,19; p = 0,100). Strukturelle Faktoren, nicht Alter, bestimmten Versorgungslücken.</w:t>
      </w:r>
    </w:p>
    <w:p>
      <w:r>
        <w:rPr>
          <w:b/>
          <w:sz w:val="19"/>
        </w:rPr>
        <w:t xml:space="preserve">Übertragbarkeit: </w:t>
      </w:r>
      <w:r>
        <w:rPr>
          <w:sz w:val="19"/>
        </w:rPr>
        <w:t>USA-Daten; zeigt, dass soziale Determinanten dominieren – Befund für europäische LGBTQ+-Versorgung relevant.</w:t>
      </w:r>
    </w:p>
    <w:p>
      <w:r>
        <w:rPr>
          <w:color w:val="5A7D3A"/>
          <w:sz w:val="18"/>
        </w:rPr>
        <w:t>https://pubmed.ncbi.nlm.nih.gov/42923145/</w:t>
      </w:r>
    </w:p>
    <w:p>
      <w:pPr>
        <w:pStyle w:val="Heading2"/>
      </w:pPr>
      <w:r>
        <w:t>Arbeitsplatzgewalt in Brasilien: Frauen 55,8 % der Fälle, Sexismus als Motiv</w:t>
      </w:r>
    </w:p>
    <w:p>
      <w:r>
        <w:rPr>
          <w:i/>
          <w:color w:val="666666"/>
          <w:sz w:val="18"/>
        </w:rPr>
        <w:t>Galdino A et al.  ·  Epidemiol Serv Saude  ·  18.08.2026  ·  PMID 42922999</w:t>
      </w:r>
    </w:p>
    <w:p>
      <w:r>
        <w:t>Die Studie analysierte 1768 Fälle arbeitsplatzbezogener Gewalt in Bahia (2009–2024) nach Geschlecht hinsichtlich Häufigkeit, Kontext und Motivation.</w:t>
      </w:r>
    </w:p>
    <w:p>
      <w:r>
        <w:rPr>
          <w:b/>
        </w:rPr>
        <w:t xml:space="preserve">Ergebnis: </w:t>
      </w:r>
      <w:r>
        <w:t>Frauen machten 55,8 % der Fälle aus. Bei Frauen traten Gewalt häufiger im Alter 18–29 Jahren (36,5 %) und unter gemischtethnischen Personen (46,7 %) auf; Sexismus war Motiv in 9,7 % der Fälle, die Gewalt fand oft zuhause statt (27,9 %). Bei Männern (35,0 % gleiche Altersgruppe) war generationeller Konflikt Motiv (5,9 %), Gewalt trat öffentlich auf (27,3 %). Melderate stieg für beide Geschlechter um ca. 15 % jährlich.</w:t>
      </w:r>
    </w:p>
    <w:p>
      <w:r>
        <w:rPr>
          <w:b/>
          <w:sz w:val="19"/>
        </w:rPr>
        <w:t xml:space="preserve">Übertragbarkeit: </w:t>
      </w:r>
      <w:r>
        <w:rPr>
          <w:sz w:val="19"/>
        </w:rPr>
        <w:t>Brasilien; zeigt strukturelle Gewalt als Versorgungshürde für Frauen, übertragbar als Public-Health-Problem.</w:t>
      </w:r>
    </w:p>
    <w:p>
      <w:r>
        <w:rPr>
          <w:color w:val="5A7D3A"/>
          <w:sz w:val="18"/>
        </w:rPr>
        <w:t>https://pubmed.ncbi.nlm.nih.gov/42922999/</w:t>
      </w:r>
    </w:p>
    <w:p>
      <w:pPr>
        <w:pStyle w:val="Heading2"/>
      </w:pPr>
      <w:r>
        <w:t>Kardiovaskuläres Risiko bei hispanischen SGM: Kumulative Stressbelastung wichtiger als Minoritätenstatus</w:t>
      </w:r>
    </w:p>
    <w:p>
      <w:r>
        <w:rPr>
          <w:i/>
          <w:color w:val="666666"/>
          <w:sz w:val="18"/>
        </w:rPr>
        <w:t>Perreira KM et al.  ·  Behav Med  ·  21.10.2026  ·  PMID 42904411</w:t>
      </w:r>
    </w:p>
    <w:p>
      <w:r>
        <w:t>Die Studie prüfte bei 1108 hispanischen/lateinamerikanischen Erwachsenen (mit und ohne SGM-Identität) aus dem Hispanic Community Health Study/Study of Latinos die Assoziation von Minoritätenstress und Resilienzfaktoren mit kardiovaskulärem Risiko.</w:t>
      </w:r>
    </w:p>
    <w:p>
      <w:r>
        <w:rPr>
          <w:b/>
        </w:rPr>
        <w:t xml:space="preserve">Ergebnis: </w:t>
      </w:r>
      <w:r>
        <w:t>SGM-Teilnehmende erlebten mehr chronischen Stress, Minoritätenstress und alltägliche Diskriminierung, aber weniger soziale Unterstützung; mehr LGBT-Gemeinschaftszugehörigkeit. Nach Adjustierung für Soziodemografika fand sich signifikante Assoziation hoher kumulativer Stressbelastung mit niedriger Resilienz (gegenüber niedriger Stressbelastung mit niedriger Resilienz) mit kardiovaskulärem Risiko, aber nicht mit metabolischem Syndrom. Kein Unterschied im kardiovaskulären oder metabolischen Risiko nach SGM-Status. Befund bestätigt Minoritätenstress-Modell, zeigt aber Kompensation durch Resilienz.</w:t>
      </w:r>
    </w:p>
    <w:p>
      <w:r>
        <w:rPr>
          <w:b/>
          <w:sz w:val="19"/>
        </w:rPr>
        <w:t xml:space="preserve">Übertragbarkeit: </w:t>
      </w:r>
      <w:r>
        <w:rPr>
          <w:sz w:val="19"/>
        </w:rPr>
        <w:t>USA-Kohortendaten; zeigt, dass Stressakkumulation und Resilienzfaktoren (zugänglich durch Intervention) kardiovaskuläres Risiko vermitteln.</w:t>
      </w:r>
    </w:p>
    <w:p>
      <w:r>
        <w:rPr>
          <w:color w:val="5A7D3A"/>
          <w:sz w:val="18"/>
        </w:rPr>
        <w:t>https://pubmed.ncbi.nlm.nih.gov/42904411/</w:t>
      </w:r>
    </w:p>
    <w:p>
      <w:pPr>
        <w:pStyle w:val="Heading2"/>
      </w:pPr>
      <w:r>
        <w:t>Laufschuhtechnologie: Frauen profitierten doppelt so stark wie Männer</w:t>
      </w:r>
    </w:p>
    <w:p>
      <w:r>
        <w:rPr>
          <w:i/>
          <w:color w:val="666666"/>
          <w:sz w:val="18"/>
        </w:rPr>
        <w:t>Blattmann L et al.  ·  J Appl Physiol (1985)  ·  01.11.2026  ·  PMID 42789973</w:t>
      </w:r>
    </w:p>
    <w:p>
      <w:r>
        <w:t>Die Studie verglich Weltklasse-Leistungen in Straßenlauf (10 km, Halbmarathon, Marathon) und Wurfdisziplinen vor (2009–2015) und während (2017–2024) der Ära moderner Laufschuhtechnologie, um Geschlechtsdifferenzen in Leistungsgewinnen zu quantifizieren.</w:t>
      </w:r>
    </w:p>
    <w:p>
      <w:r>
        <w:rPr>
          <w:b/>
        </w:rPr>
        <w:t xml:space="preserve">Ergebnis: </w:t>
      </w:r>
      <w:r>
        <w:t>Road-Running-Leistungen verbesserten sich insgesamt stärker als Wurfdisziplinen (β = 0,731, p &lt; 0,001). Frauen profitierten von der Laufschuhtechnologie stärker: 4,51 % Verbesserung gegenüber 2,62 % bei Männern (Interaktion era × event type × sex: β = 0,786, p &lt; 0,001). Wurfdisziplinen (nicht von Schuhtechnik betroffen) zeigten kein Geschlechtsmuster (0,93 % vs. 1,15 %). Befund deutet darauf hin, dass fortgeschrittene Schuh­technologie bei Frauen eine größere biomechanische Wirkung entfaltet.</w:t>
      </w:r>
    </w:p>
    <w:p>
      <w:r>
        <w:rPr>
          <w:b/>
          <w:sz w:val="19"/>
        </w:rPr>
        <w:t xml:space="preserve">Übertragbarkeit: </w:t>
      </w:r>
      <w:r>
        <w:rPr>
          <w:sz w:val="19"/>
        </w:rPr>
        <w:t>Deutschland, europäisch übertragbar; zeigt biologische (biomechanische) Unterschiede in Technologienutzung.</w:t>
      </w:r>
    </w:p>
    <w:p>
      <w:r>
        <w:rPr>
          <w:color w:val="5A7D3A"/>
          <w:sz w:val="18"/>
        </w:rPr>
        <w:t>https://pubmed.ncbi.nlm.nih.gov/42789973/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