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Geschlechtersensible Medizin</w:t>
      </w:r>
    </w:p>
    <w:p>
      <w:r>
        <w:rPr>
          <w:i/>
          <w:color w:val="666666"/>
          <w:sz w:val="18"/>
        </w:rPr>
        <w:t>Stand: 14.10.2026  |  6 Studien  |  gender.m-vf.de</w:t>
      </w:r>
    </w:p>
    <w:p>
      <w:pPr>
        <w:pStyle w:val="Heading1"/>
      </w:pPr>
      <w:r>
        <w:t>Aufgenommen am 14.10.2026</w:t>
      </w:r>
    </w:p>
    <w:p>
      <w:pPr>
        <w:pStyle w:val="Heading2"/>
      </w:pPr>
      <w:r>
        <w:t>Kardiomet. Gesundheit bisexueller/lesbischer Frauen: Keine objektiven Unterschiede, aber höhere Stresswerte selbstberichtet</w:t>
      </w:r>
    </w:p>
    <w:p>
      <w:r>
        <w:rPr>
          <w:i/>
          <w:color w:val="666666"/>
          <w:sz w:val="18"/>
        </w:rPr>
        <w:t>Keenan K et al.  ·  PLoS One  ·  13.10.2026  ·  PMID 42868184</w:t>
      </w:r>
    </w:p>
    <w:p>
      <w:r>
        <w:t>US-Longitudinalstudie mit objektiven Messungen (N=239 LGB vs. 160 heterosexuelle Frauen, 18-29 Jahre) zur kardiometabolischen Gesundheit und Stressreaktivität nach sexueller Identität.</w:t>
      </w:r>
    </w:p>
    <w:p>
      <w:r>
        <w:rPr>
          <w:b/>
        </w:rPr>
        <w:t xml:space="preserve">Ergebnis: </w:t>
      </w:r>
      <w:r>
        <w:t>Keine signifikanten Unterschiede in objektiven kardiomet. Markern (Blutdruck, Lipide, Glukose, HRV, Cortisol) zwischen LGB- und heterosexuellen Frauen. LGB-Frauen berichteten jedoch schlechtere Selbstgesundheit (p&lt;0,05) und höhere wahrgenommene Stressbelastung. Autoren diskutieren mehrere Interpretationen: Entwicklungs-, soziopolitische und methodische Rahmen; Stress kann psychosozial wirken, ohne sich in Biomarkern abzubilden.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 - Stressmessung ist übertragbar; kardiomet. Gesundheit zeigt Mehrschichtigkeit (objektiv vs. wahrgenommen)</w:t>
      </w:r>
    </w:p>
    <w:p>
      <w:r>
        <w:rPr>
          <w:color w:val="5A7D3A"/>
          <w:sz w:val="18"/>
        </w:rPr>
        <w:t>https://pubmed.ncbi.nlm.nih.gov/42868184/</w:t>
      </w:r>
    </w:p>
    <w:p>
      <w:pPr>
        <w:pStyle w:val="Heading2"/>
      </w:pPr>
      <w:r>
        <w:t>Geschlechterbias in Sexualgesundheit: 128 Schulungen gefunden, zumeist multi-kompetent, aber ungleich gender-transformativ</w:t>
      </w:r>
    </w:p>
    <w:p>
      <w:r>
        <w:rPr>
          <w:i/>
          <w:color w:val="666666"/>
          <w:sz w:val="18"/>
        </w:rPr>
        <w:t>Oringanje C et al.  ·  PLoS One  ·  13.10.2026  ·  PMID 42868131</w:t>
      </w:r>
    </w:p>
    <w:p>
      <w:r>
        <w:t>Systematischer Scoping Review (2000–Nov. 2025) von Trainingstools und Schulungsinterventionen für Gesundheitsberufe zur Reduktion von Geschlechterbias in sexueller und reproduktiver Gesundheit.</w:t>
      </w:r>
    </w:p>
    <w:p>
      <w:r>
        <w:rPr>
          <w:b/>
        </w:rPr>
        <w:t xml:space="preserve">Ergebnis: </w:t>
      </w:r>
      <w:r>
        <w:t>128 Quellen (25 Toolkits/Handbücher, 103 Interventionsberichte, 100 einzigartige Ansätze). Alle nutzten mehrteilige Pädagogik: didaktische Unterricht (98,4%), reflektiv-wertebasiertes Lernen (83,2%), erlebnisorientierte Methoden wie Rollenspiel/Simulation (92%). 98,4% betonten personen-zentrierte Versorgung; 68,8% integrierten gender-transformative Elemente, 74,4% Systemkomponenten. Variabilität in der Tiefe der Integration gender-transformativer und System-Strategien.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Global (inkl. Frankreich, English-sprachig), zeigt Kern-Curriculum-Elemente für Training in Deutschland</w:t>
      </w:r>
    </w:p>
    <w:p>
      <w:r>
        <w:rPr>
          <w:color w:val="5A7D3A"/>
          <w:sz w:val="18"/>
        </w:rPr>
        <w:t>https://pubmed.ncbi.nlm.nih.gov/42868131/</w:t>
      </w:r>
    </w:p>
    <w:p>
      <w:pPr>
        <w:pStyle w:val="Heading2"/>
      </w:pPr>
      <w:r>
        <w:t>Suizidalität bei Krebspatienten: Eingesperrtsein treibt Ideation unabhängig vom Geschlecht</w:t>
      </w:r>
    </w:p>
    <w:p>
      <w:r>
        <w:rPr>
          <w:i/>
          <w:color w:val="666666"/>
          <w:sz w:val="18"/>
        </w:rPr>
        <w:t>Hirschmiller J et al.  ·  J Psychosom Res  ·  03.09.2026  ·  PMID 42715863</w:t>
      </w:r>
    </w:p>
    <w:p>
      <w:r>
        <w:t>Deutsche Klinik-Studie (N=618, 231 Frauen) zur Assoziation zwischen Gefühl der Eingesperrtsein und Suizidgedanken bei Krebspatienten, mit separater Analyse nach Geschlecht.</w:t>
      </w:r>
    </w:p>
    <w:p>
      <w:r>
        <w:rPr>
          <w:b/>
        </w:rPr>
        <w:t xml:space="preserve">Ergebnis: </w:t>
      </w:r>
      <w:r>
        <w:t>11,74% berichteten Suizidgedanken (40% waren Frauen). Eingesperrtsein korrelierte mit Suizidgedanken über alle Geschlechter hinweg (r=0,32, p&lt;0,001). Resiliente Bewältigung moderierte die Beziehung zwischen Eingesperrtsein und Suizidgedanken NICHT. Keine Geschlechtsmuster in den Daten. Eingesperrtsein ist ein unmittelbarer, geschlechtsunsensitiver Prädiktor; Gender könnte frühere Prozesse (existenzielle Distress) prägen.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(Mainz), Universitätsklinik, relevante psychoonkologische Routine-Praxis</w:t>
      </w:r>
    </w:p>
    <w:p>
      <w:r>
        <w:rPr>
          <w:color w:val="5A7D3A"/>
          <w:sz w:val="18"/>
        </w:rPr>
        <w:t>https://pubmed.ncbi.nlm.nih.gov/42715863/</w:t>
      </w:r>
    </w:p>
    <w:p>
      <w:pPr>
        <w:pStyle w:val="Heading2"/>
      </w:pPr>
      <w:r>
        <w:t>Geschlechterpolarisierung moderner Sexismen in Ländern mit hoher Geschlechterparität</w:t>
      </w:r>
    </w:p>
    <w:p>
      <w:r>
        <w:rPr>
          <w:i/>
          <w:color w:val="666666"/>
          <w:sz w:val="18"/>
        </w:rPr>
        <w:t>Napier JL et al.  ·  Ann N Y Acad Sci  ·  Aug. 2026  ·  PMID 42615366</w:t>
      </w:r>
    </w:p>
    <w:p>
      <w:r>
        <w:t>Querschnittstudie über 14 Länder (niedrig bis hoch nach Gender Equality Index) zur Geschlechterpolarisierung in sexistischen Einstellungen (overt vs. modern).</w:t>
      </w:r>
    </w:p>
    <w:p>
      <w:r>
        <w:rPr>
          <w:b/>
        </w:rPr>
        <w:t xml:space="preserve">Ergebnis: </w:t>
      </w:r>
      <w:r>
        <w:t>Altmodischer Sexismus sinkt mit Geschlechterparität in beiden Geschlechtern. Moderner Sexismus sinkt mit Parität nur bei Frauen, nicht bei Männern. Geschlechterpolarisierung ist größer bei modernem Sexismus in hochparität-Ländern (Schweden, UK, USA), weil Frauen modernes Sexismus dort stärker ablehnen als Männer. Der Unterschied ist nicht biologisch, sondern sozial-politisch geprägt.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14-Länder-Vergleich (Schweden, UK teilweise), zeigt Geschlechternormen als soziopolitisch—nicht unmittelbar klinisch relevant, aber politisch-strukturelles Hintergrund-Verständnis</w:t>
      </w:r>
    </w:p>
    <w:p>
      <w:r>
        <w:rPr>
          <w:color w:val="5A7D3A"/>
          <w:sz w:val="18"/>
        </w:rPr>
        <w:t>https://pubmed.ncbi.nlm.nih.gov/42615366/</w:t>
      </w:r>
    </w:p>
    <w:p>
      <w:pPr>
        <w:pStyle w:val="Heading2"/>
      </w:pPr>
      <w:r>
        <w:t>Geschlechtersensible Deutung somatischer Symptome: Frauen erhalten eher Bestätigung ihrer Krankheitsrolle</w:t>
      </w:r>
    </w:p>
    <w:p>
      <w:r>
        <w:rPr>
          <w:i/>
          <w:color w:val="666666"/>
          <w:sz w:val="18"/>
        </w:rPr>
        <w:t>Ballering A et al.  ·  J Psychosom Res  ·  30.07.2026  ·  PMID 42551223</w:t>
      </w:r>
    </w:p>
    <w:p>
      <w:r>
        <w:t>Experimentelle Vignettenanalyse (N=458, Niederlande) zur Frage, wie Geschlecht die gesellschaftliche Anerkennung der Sick Role bei persistenten somatischen Symptomen beeinflusst.</w:t>
      </w:r>
    </w:p>
    <w:p>
      <w:r>
        <w:rPr>
          <w:b/>
        </w:rPr>
        <w:t xml:space="preserve">Ergebnis: </w:t>
      </w:r>
      <w:r>
        <w:t>Frauen und Patienten mit rheumatoider Arthritis wurden signifikant häufiger von ihren sozialen Pflichten entbunden als Männer und Fibromyalgie-Patienten (OR=1,69, 95%CI=1,18–2,41; OR=0,53, 95%CI=0,37–0,76). Männliche Studienteilnehmer deuteten persistente somatische Symptome häufiger als persönlich kontrollierbar (F(1,446)=9,52, η²=0,02) und beurteilten betroffene Personen als weniger glaubwürdig (F(1,446)=16,0, η²=0,04). Diese Glaubwürdigkeitsannahmen erklären teilweise, warum Fibromyalgie-Patienten weniger Sick-Role-Anerkennung erhalten—ein Zuweisung-Effekt, nicht ein biologischer.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vergleichbares Sozialversicherungssystem, zeigt kulturelle Deutungsmuster statt Biologie</w:t>
      </w:r>
    </w:p>
    <w:p>
      <w:r>
        <w:rPr>
          <w:color w:val="5A7D3A"/>
          <w:sz w:val="18"/>
        </w:rPr>
        <w:t>https://pubmed.ncbi.nlm.nih.gov/42551223/</w:t>
      </w:r>
    </w:p>
    <w:p>
      <w:pPr>
        <w:pStyle w:val="Heading2"/>
      </w:pPr>
      <w:r>
        <w:t>Kulturelle Gesundheitsangebote in England: Über 100 Akteure, aber untergenutzt und unterfinanziert</w:t>
      </w:r>
    </w:p>
    <w:p>
      <w:r>
        <w:rPr>
          <w:i/>
          <w:color w:val="666666"/>
          <w:sz w:val="18"/>
        </w:rPr>
        <w:t>Marsden R  ·  Perspect Public Health  ·  01.08.2026  ·  PMID 42541729</w:t>
      </w:r>
    </w:p>
    <w:p>
      <w:r>
        <w:t>Scoping-Analyse (England, Jan.–Mai 2024) zur Kartierung künstlerischer/kreativer Gesundheitsangebote und ihrer Barrieren für vulnerable Bevölkerungsgruppen.</w:t>
      </w:r>
    </w:p>
    <w:p>
      <w:r>
        <w:rPr>
          <w:b/>
        </w:rPr>
        <w:t xml:space="preserve">Ergebnis: </w:t>
      </w:r>
      <w:r>
        <w:t>Über 100 kreative Gesundheitsakteure identifiziert (Museen, Theater, Kunstzentren, Wohltätigkeitsvereine). Public-Advisory-Mitglieder nannten zentrale Barrieren: finanzielle Hürden, kulturelle Inkompetenz-Lücken, geringe Sichtbarkeit von Angeboten. Strategische Diskontinuitäten zwischen Kultur- und Public-Health-Politik. Qualitative Befunde: Kreativität stärkt Empowerment, Ruhe, soziale Kohäsion—aber Zugang ist ungleich verteilt.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England, NHS-Context; Kulturangebote als Equity-Tool auch in Deutschland denkbar</w:t>
      </w:r>
    </w:p>
    <w:p>
      <w:r>
        <w:rPr>
          <w:color w:val="5A7D3A"/>
          <w:sz w:val="18"/>
        </w:rPr>
        <w:t>https://pubmed.ncbi.nlm.nih.gov/42541729/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Geschlechtersensible Medizin</dc:title>
  <dc:subject/>
  <dc:creator>Monitor Versorgungsforschung</dc:creator>
  <cp:keywords/>
  <dc:description>generated by python-docx</dc:description>
  <cp:lastModifiedBy/>
  <cp:revision>1</cp:revision>
  <dcterms:created xsi:type="dcterms:W3CDTF">2026-10-14T06:00:00Z</dcterms:created>
  <dcterms:modified xsi:type="dcterms:W3CDTF">2026-10-14T06:00:00Z</dcterms:modified>
  <cp:category/>
</cp:coreProperties>
</file>