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Geschlechtersensible Medizin</w:t>
      </w:r>
    </w:p>
    <w:p>
      <w:r>
        <w:rPr>
          <w:i/>
          <w:color w:val="666666"/>
          <w:sz w:val="18"/>
        </w:rPr>
        <w:t>Stand: 20.10.2026  |  7 Studien  |  gender.m-vf.de</w:t>
      </w:r>
    </w:p>
    <w:p>
      <w:pPr>
        <w:pStyle w:val="Heading1"/>
      </w:pPr>
      <w:r>
        <w:t>Aufgenommen am 20.10.2026</w:t>
      </w:r>
    </w:p>
    <w:p>
      <w:pPr>
        <w:pStyle w:val="Heading2"/>
      </w:pPr>
      <w:r>
        <w:t>Zungenkrebs: Rauchen bei Männern häufiger, Überleben gleich nach Tumorlast</w:t>
      </w:r>
    </w:p>
    <w:p>
      <w:r>
        <w:rPr>
          <w:i/>
          <w:color w:val="666666"/>
          <w:sz w:val="18"/>
        </w:rPr>
        <w:t>Elbalka SS et al.  ·  Ann Ital Chir  ·  14.10.2026  ·  PMID 42894908</w:t>
      </w:r>
    </w:p>
    <w:p>
      <w:r>
        <w:t>Retrospektive Kohortenstudie von 110 Patienten (52 m, 58 w) mit operiertem Zungenplattenepithelkarzinom in Ägypten (2007–2025); Analyse von Präsentation, Rezidiv und Gesamtüberleben nach Geschlecht mittels Kaplan-Meier und Cox-Regressionen.</w:t>
      </w:r>
    </w:p>
    <w:p>
      <w:r>
        <w:rPr>
          <w:b/>
        </w:rPr>
        <w:t xml:space="preserve">Ergebnis: </w:t>
      </w:r>
      <w:r>
        <w:t>Männer rauchten signifikant häufiger (26,5% vs. 3,6%, p = 0,001). Alter, BMI, T-Stadium, Nodalstatus, Invasionstiefe, Grading ähnlich zwischen Geschlechtern. Gesamtüberleben unterschied sich nicht (log-rank p = 0,785). In multivariablem Cox-Modell blieben Nodalpositivität und T-Stadium signifikant; Geschlecht nicht assoziiert mit Überleben nach Anpassung. Geschlechtsdifferenzen in Präsentation und Ergebnis minimal; Tumormasse, nicht Geschlecht, Hauptprognostikum.</w:t>
      </w:r>
    </w:p>
    <w:p>
      <w:r>
        <w:rPr>
          <w:b/>
          <w:sz w:val="19"/>
        </w:rPr>
        <w:t xml:space="preserve">Übertragbarkeit: </w:t>
      </w:r>
      <w:r>
        <w:rPr>
          <w:sz w:val="19"/>
        </w:rPr>
        <w:t>Ägypten, begrenzte Übertragbarkeit; demonstriert biologisch irrelevante Geschlechtsdifferenzen</w:t>
      </w:r>
    </w:p>
    <w:p>
      <w:r>
        <w:rPr>
          <w:color w:val="5A7D3A"/>
          <w:sz w:val="18"/>
        </w:rPr>
        <w:t>https://pubmed.ncbi.nlm.nih.gov/42894908/</w:t>
      </w:r>
    </w:p>
    <w:p>
      <w:pPr>
        <w:pStyle w:val="Heading2"/>
      </w:pPr>
      <w:r>
        <w:t>Vasektomie: Auch Männer mit traditionellen Geschlechtshaltungen wählen Verhütung, wenn Familie komplett</w:t>
      </w:r>
    </w:p>
    <w:p>
      <w:r>
        <w:rPr>
          <w:i/>
          <w:color w:val="666666"/>
          <w:sz w:val="18"/>
        </w:rPr>
        <w:t>Brewer M et al.  ·  Sociol Health Illn  ·  Nov. 2026  ·  PMID 42894890</w:t>
      </w:r>
    </w:p>
    <w:p>
      <w:r>
        <w:t>Querschnittsstudie (National Survey of Family Growth 2011–2019, n = 5.899 verhütende Männer 25–44 Jahre USA) untersuchte, wie Einstellungen zur Männlichkeit mit Vasektomieanwendung assoziieren, adjustiert für Kinderanzahl und weitere Kovariaten.</w:t>
      </w:r>
    </w:p>
    <w:p>
      <w:r>
        <w:rPr>
          <w:b/>
        </w:rPr>
        <w:t xml:space="preserve">Ergebnis: </w:t>
      </w:r>
      <w:r>
        <w:t>Vasektomie häufiger bei Männern, die zustimmten, dass Männer höhere sexuelle Bedürfnisse haben. Dieser Unterschied war jedoch überwiegend durch Kinderanzahl erklärt (starker Prädiktor für Vasektomie). Vasektomiestatus unterschied sich nicht nach Einstellungen zu präventiver Gesundheitsvorsorge oder Schmerztoleranz. Befund legt nahe, dass Männer traditionelle maskuline Haltungen bewahren können, während sie arbeitsteilige Verhütungslasten via Vasektomie aufbrechen.</w:t>
      </w:r>
    </w:p>
    <w:p>
      <w:r>
        <w:rPr>
          <w:b/>
          <w:sz w:val="19"/>
        </w:rPr>
        <w:t xml:space="preserve">Übertragbarkeit: </w:t>
      </w:r>
      <w:r>
        <w:rPr>
          <w:sz w:val="19"/>
        </w:rPr>
        <w:t>USA, Sozialverhalten; Geschlechterunterschied durch Familiengröße erklärbar, nicht durch Attitudes</w:t>
      </w:r>
    </w:p>
    <w:p>
      <w:r>
        <w:rPr>
          <w:color w:val="5A7D3A"/>
          <w:sz w:val="18"/>
        </w:rPr>
        <w:t>https://pubmed.ncbi.nlm.nih.gov/42894890/</w:t>
      </w:r>
    </w:p>
    <w:p>
      <w:pPr>
        <w:pStyle w:val="Heading2"/>
      </w:pPr>
      <w:r>
        <w:t>Geschlechtergetrennte Referenzwerte für Aufstands-Kraftleistung in Lateinamerika etabliert</w:t>
      </w:r>
    </w:p>
    <w:p>
      <w:r>
        <w:rPr>
          <w:i/>
          <w:color w:val="666666"/>
          <w:sz w:val="18"/>
        </w:rPr>
        <w:t>Otto-Yáñez M et al.  ·  Scand J Med Sci Sports  ·  Okt. 2026  ·  PMID 42894323</w:t>
      </w:r>
    </w:p>
    <w:p>
      <w:r>
        <w:t>Multizenter-Querschnittsstudie (n = 1.254 Erwachsene 18–80 Jahre aus Chile, Kolumbien, Ecuador) entwickelte geschlechts- und altersgerechte Perzentilwerte für relative und allometrische Sit-to-Stand-(STS)-Leistung (W·kg⁻¹, W·m⁻²); Charakterisierung altersabhängiger Muster und länderübergreifender Heterogenität via generalisierte additive Modelle.</w:t>
      </w:r>
    </w:p>
    <w:p>
      <w:r>
        <w:rPr>
          <w:b/>
        </w:rPr>
        <w:t xml:space="preserve">Ergebnis: </w:t>
      </w:r>
      <w:r>
        <w:t>Relative STS-Leistung nahm mit Alter ab, Median Frauen 4,50–2,40 W·kg⁻¹ (18–29 vs. 70–80 Jahre), Männer 5,20–2,80 W·kg⁻¹. Allometrische Leistung ähnliches Muster: Frauen 114,35–61,30 W·m⁻², Männer 126,70–74,10 W·m⁻². Ecuador höhere Verteilungen als Chile/Kolumbien; altersabhängige Muster unterschieden sich zwischen Ländern. Explorative Physikalisch-Aktivitäts-Gradienten nach Anpassung attenuiert. Gepoolte Perzentile sind regionale Benchmarks, nicht länder-spezifisch.</w:t>
      </w:r>
    </w:p>
    <w:p>
      <w:r>
        <w:rPr>
          <w:b/>
          <w:sz w:val="19"/>
        </w:rPr>
        <w:t xml:space="preserve">Übertragbarkeit: </w:t>
      </w:r>
      <w:r>
        <w:rPr>
          <w:sz w:val="19"/>
        </w:rPr>
        <w:t>Lateinamerika, geschlechtergetrennte Funktionsdaten; Übertragbarkeit auf DACH begrenzt (andere Population)</w:t>
      </w:r>
    </w:p>
    <w:p>
      <w:r>
        <w:rPr>
          <w:color w:val="5A7D3A"/>
          <w:sz w:val="18"/>
        </w:rPr>
        <w:t>https://pubmed.ncbi.nlm.nih.gov/42894323/</w:t>
      </w:r>
    </w:p>
    <w:p>
      <w:pPr>
        <w:pStyle w:val="Heading2"/>
      </w:pPr>
      <w:r>
        <w:t>Übergewicht vor Schwangerschaft: Konservative Interventionen zeigen uneinheitliche Effekte</w:t>
      </w:r>
    </w:p>
    <w:p>
      <w:r>
        <w:rPr>
          <w:i/>
          <w:color w:val="666666"/>
          <w:sz w:val="18"/>
        </w:rPr>
        <w:t>Mateusz S et al.  ·  Arch Gynecol Obstet  ·  22.07.2026  ·  PMID 42894025</w:t>
      </w:r>
    </w:p>
    <w:p>
      <w:r>
        <w:t>Strukturierte Narrativ-Übersicht von 13 Studien (11 Interventionen, 2 Beobachtungskohorten) zu Präkonzeptionsübergewicht/-adipositas und Effekten von Lebensstil-, Diät-, Verhaltens-, Gewichtsmanagement- und Supplementierungsstrategien auf Schwangerschafts- und Langzeitergebnisse (Datenbank-Suche Jan 2019–Dez 2023).</w:t>
      </w:r>
    </w:p>
    <w:p>
      <w:r>
        <w:rPr>
          <w:b/>
        </w:rPr>
        <w:t xml:space="preserve">Ergebnis: </w:t>
      </w:r>
      <w:r>
        <w:t>Beobachtungsevidenz verband höheres Präkonzeptionsgewicht mit Geburtseinleitung, Kaiserschnitt, Frühgeburt, Neugeborenen-Aufnahme, Totgeburt und postpartaler Dysglykämie. Konservative Interventionen zeigten heterogene Effekte. Präkonzeptives Gewichtsverlust assoziiert mit selektiven Fertilitäts- und Glukose-Effekten: kürzere Konzeptionszeit nach sehr-kalorienarmer Diät, niedrigere Odds rezidivierender GDM bei bedeutsamem Gewichtsverlust. Supplementierungsinterventionen inkonsistent über BMI-Subgruppen. Langzeit-Follow-up deutet, dass nachhaltige Effekte von erfolgreichem Gewichtsverlust und Verhaltenserhalt abhängen. Keine einzelne optimale Interventions-, Timing- oder universale Gewichtsverlust-Zielmarke definiert.</w:t>
      </w:r>
    </w:p>
    <w:p>
      <w:r>
        <w:rPr>
          <w:b/>
          <w:sz w:val="19"/>
        </w:rPr>
        <w:t xml:space="preserve">Übertragbarkeit: </w:t>
      </w:r>
      <w:r>
        <w:rPr>
          <w:sz w:val="19"/>
        </w:rPr>
        <w:t>DACH-vergleichbar; AWMF-Leitlinie existiert, Evidenzheterogenität bleibt</w:t>
      </w:r>
    </w:p>
    <w:p>
      <w:r>
        <w:rPr>
          <w:color w:val="5A7D3A"/>
          <w:sz w:val="18"/>
        </w:rPr>
        <w:t>https://pubmed.ncbi.nlm.nih.gov/42894025/</w:t>
      </w:r>
    </w:p>
    <w:p>
      <w:pPr>
        <w:pStyle w:val="Heading2"/>
      </w:pPr>
      <w:r>
        <w:t>Smartphone-Sucht und Depression: Geschlechtsdifferenzen widersprüchlich, Moderatoren ungeklärt</w:t>
      </w:r>
    </w:p>
    <w:p>
      <w:r>
        <w:rPr>
          <w:i/>
          <w:color w:val="666666"/>
          <w:sz w:val="18"/>
        </w:rPr>
        <w:t>Pirwani N et al.  ·  BMC Psychol  ·  22.07.2026  ·  PMID 42888456</w:t>
      </w:r>
    </w:p>
    <w:p>
      <w:r>
        <w:t>Systematische Übersicht (PRISMA-registriert) von 16 Studien (13 Querschnitt, 3 Längsschnitt) zu Geschlechtsdifferenzen in der Assoziation problematischer Smartphone-Nutzung (PSU) mit Depression; Qualitätsbewertung mittels MMAT.</w:t>
      </w:r>
    </w:p>
    <w:p>
      <w:r>
        <w:rPr>
          <w:b/>
        </w:rPr>
        <w:t xml:space="preserve">Ergebnis: </w:t>
      </w:r>
      <w:r>
        <w:t>15 Studien zeigten positive PSU-Depression-Assoziation. Geschlechtsmuster heterogen: 5 Studien stärkere Assoziation bei Frauen, 5 bei Männern, 6 keine Differenz. Eine Längsschnittstudie lieferte direkte Evidenz für Bidirektionalität. Schlussfolgerung: Geschlechtsmuster nicht uniform; wahrscheinlich moderiert durch Nutzungstyp, Altersgruppe, kulturellen Kontext und Messheterogenität statt fundamentaler Vulnerabilitätsunterschied. Überwiegend Querschnittsdesigns und Selbstbericht limitieren kausale Schlussfolgerung.</w:t>
      </w:r>
    </w:p>
    <w:p>
      <w:r>
        <w:rPr>
          <w:b/>
          <w:sz w:val="19"/>
        </w:rPr>
        <w:t xml:space="preserve">Übertragbarkeit: </w:t>
      </w:r>
      <w:r>
        <w:rPr>
          <w:sz w:val="19"/>
        </w:rPr>
        <w:t>Internationale Evidenzsynthese; Geschlechtsmuster unklar, Moderatoren zu prüfen</w:t>
      </w:r>
    </w:p>
    <w:p>
      <w:r>
        <w:rPr>
          <w:color w:val="5A7D3A"/>
          <w:sz w:val="18"/>
        </w:rPr>
        <w:t>https://pubmed.ncbi.nlm.nih.gov/42888456/</w:t>
      </w:r>
    </w:p>
    <w:p>
      <w:pPr>
        <w:pStyle w:val="Heading2"/>
      </w:pPr>
      <w:r>
        <w:t>Elternschaft verändert Kognition geschlechtsspezifisch – Väter gewinnen, Mütter verlieren beim Arbeitsgedächtnis</w:t>
      </w:r>
    </w:p>
    <w:p>
      <w:r>
        <w:rPr>
          <w:i/>
          <w:color w:val="666666"/>
          <w:sz w:val="18"/>
        </w:rPr>
        <w:t>Geller S et al.  ·  Psychoneuroendocrinology  ·  19.09.2026  ·  PMID 42800435</w:t>
      </w:r>
    </w:p>
    <w:p>
      <w:r>
        <w:t>Querschnittsstudie verglich kognitive Leistung (158 Eltern mit Säuglingen 8 Wochen–6 Monate vs. 154 kinderlose Kontrollen) und testete Assoziationen mit Oxytocin und Cortisol mittels struktureller Gleichungsmodelle.</w:t>
      </w:r>
    </w:p>
    <w:p>
      <w:r>
        <w:rPr>
          <w:b/>
        </w:rPr>
        <w:t xml:space="preserve">Ergebnis: </w:t>
      </w:r>
      <w:r>
        <w:t>Keine Hinweise auf globale kognitive Beeinträchtigung durch Elternschaft. Väter zeigten bessere Objektwahrnehmung als nicht-Väter, Mütter moderat schlechteres Arbeitsgedächtnis als nicht-Mütter. Gesichtsgedächtnis war mit zirkulierendem Oxytocin (β &gt; 0, unabhängig von Elternschaftsstatus) und weiblichem Geschlecht assoziiert (p &lt; 0,05). Cortisol nicht signifikant assoziiert. Sensitivitätsanalysen (Alter, Schlafqualität, depressive Symptome, Stress) änderten Muster nicht wesentlich.</w:t>
      </w:r>
    </w:p>
    <w:p>
      <w:r>
        <w:rPr>
          <w:b/>
          <w:sz w:val="19"/>
        </w:rPr>
        <w:t xml:space="preserve">Übertragbarkeit: </w:t>
      </w:r>
      <w:r>
        <w:rPr>
          <w:sz w:val="19"/>
        </w:rPr>
        <w:t>Deutschland, Lab-basierte kognitiv-neuroendokrine Methodik; Übertragbarkeit auf Versorgung (z.B. postpartale Neuropsychologie) fraglich</w:t>
      </w:r>
    </w:p>
    <w:p>
      <w:r>
        <w:rPr>
          <w:color w:val="5A7D3A"/>
          <w:sz w:val="18"/>
        </w:rPr>
        <w:t>https://pubmed.ncbi.nlm.nih.gov/42800435/</w:t>
      </w:r>
    </w:p>
    <w:p>
      <w:pPr>
        <w:pStyle w:val="Heading2"/>
      </w:pPr>
      <w:r>
        <w:t>Orthostatic Toleranz bei Frauen geringer – Kompressionsanzug schützt beide Geschlechter</w:t>
      </w:r>
    </w:p>
    <w:p>
      <w:r>
        <w:rPr>
          <w:i/>
          <w:color w:val="666666"/>
          <w:sz w:val="18"/>
        </w:rPr>
        <w:t>Lytle JR et al.  ·  J Appl Physiol (1985)  ·  01.10.2026  ·  PMID 42764020</w:t>
      </w:r>
    </w:p>
    <w:p>
      <w:r>
        <w:t>Studie verglich kardiovaskuläre Reaktionen auf simulierte Mondgravitation (0,5–1,0 G via Kopf-Hochlagerung) bei 16 Frauen und 18 Männern nach pharmakologischer Blutvolumenreduktion und prüfte Wirksamkeit eines Kompressionsanzuges.</w:t>
      </w:r>
    </w:p>
    <w:p>
      <w:r>
        <w:rPr>
          <w:b/>
        </w:rPr>
        <w:t xml:space="preserve">Ergebnis: </w:t>
      </w:r>
      <w:r>
        <w:t>Hypovoläme Frauen wurden bei 80° und 50° HUT früher präsynkopal als Männer (Unterschied: 4,6 min bei 80°, p = 0,003), mit signifikant niedrigerem mittlerem arteriellem Druck vor und während 80° HUT (p = 0,038). Der Kompressionsanzug erhöhte Toleranzzeit um 4,2 min bei 80° HUT und 1,6 min bei 50° HUT (beide p &lt; 0,008) und reduzierte Herzfrequenzanstieg und Schlagvolumenabfall in beiden Geschlechtern, stärker bei Frauen (p &lt; 0,001). Dies zeigt biologische Geschlechtsdifferenzen in der kardiovaskulären Regulation unter Gravitationsstress.</w:t>
      </w:r>
    </w:p>
    <w:p>
      <w:r>
        <w:rPr>
          <w:b/>
          <w:sz w:val="19"/>
        </w:rPr>
        <w:t xml:space="preserve">Übertragbarkeit: </w:t>
      </w:r>
      <w:r>
        <w:rPr>
          <w:sz w:val="19"/>
        </w:rPr>
        <w:t>Physiologischer Mechanismus belegt; Übertragbarkeit auf Raumfahrtmedizin und Orthostase-Screening begrenzt</w:t>
      </w:r>
    </w:p>
    <w:p>
      <w:r>
        <w:rPr>
          <w:color w:val="5A7D3A"/>
          <w:sz w:val="18"/>
        </w:rPr>
        <w:t>https://pubmed.ncbi.nlm.nih.gov/42764020/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Geschlechtersensible Medizin</dc:title>
  <dc:subject/>
  <dc:creator>Monitor Versorgungsforschung</dc:creator>
  <cp:keywords/>
  <dc:description>generated by python-docx</dc:description>
  <cp:lastModifiedBy/>
  <cp:revision>1</cp:revision>
  <dcterms:created xsi:type="dcterms:W3CDTF">2026-10-20T06:00:00Z</dcterms:created>
  <dcterms:modified xsi:type="dcterms:W3CDTF">2026-10-20T06:00:00Z</dcterms:modified>
  <cp:category/>
</cp:coreProperties>
</file>