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23.08.2026  |  2 Studien  |  gender.m-vf.de</w:t>
      </w:r>
    </w:p>
    <w:p>
      <w:pPr>
        <w:pStyle w:val="Heading1"/>
      </w:pPr>
      <w:r>
        <w:t>Aufgenommen am 23.08.2026</w:t>
      </w:r>
    </w:p>
    <w:p>
      <w:pPr>
        <w:pStyle w:val="Heading2"/>
      </w:pPr>
      <w:r>
        <w:t>Luftqualität und niedriges Geburtsgewicht: Verbesserung der Luftqualität würde bei Müttern mit niedriger Schulbildung mehr Fälle verhindern</w:t>
      </w:r>
    </w:p>
    <w:p>
      <w:r>
        <w:rPr>
          <w:i/>
          <w:color w:val="666666"/>
          <w:sz w:val="18"/>
        </w:rPr>
        <w:t>Sieber S et al.  ·  Int J Epidemiol  ·  24.06.2026  ·  PMID 42470137</w:t>
      </w:r>
    </w:p>
    <w:p>
      <w:r>
        <w:t>Bevölkerungsgestützte Studie aus Spanien mit 1,4 Millionen Geburten 2010–2018, Analyse der Assoziation zwischen Feinstaubexposition (PM2,5, NO₂) und Niedriges-Geburtsgewicht, stratifiziert nach mütterlicher Schulbildung.</w:t>
      </w:r>
    </w:p>
    <w:p>
      <w:r>
        <w:rPr>
          <w:b/>
        </w:rPr>
        <w:t xml:space="preserve">Ergebnis: </w:t>
      </w:r>
      <w:r>
        <w:t>Ein Anstieg von 10 µg/m³ PM2,5 war mit 6 % höheren Chancen für niedriges Geburtsgewicht assoziiert (95 %-KI 0–11 %), NO₂ mit 1 % (95 %-KI 0–3 %). Mütter mit Primarschule zeigten höchstes Risiko (OR 1,76, 95 %-KI 1,71–1,82 gegenüber tertiärer Bildung). Die primäre Schulbildungsgruppe erfuhr die größten relativen Risikreduktionen unter Luftqualitäts-Interventionsszenarien. Soziale Determinanten (Bildung) waren stärker als Luftqualität allein.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Gesundheitssystem mit Routinedaten zu Geburten; Luftqualität und Bildung sind soziale, nicht biologische Erklärung.</w:t>
      </w:r>
    </w:p>
    <w:p>
      <w:r>
        <w:rPr>
          <w:color w:val="5A7D3A"/>
          <w:sz w:val="18"/>
        </w:rPr>
        <w:t>https://pubmed.ncbi.nlm.nih.gov/42470137/</w:t>
      </w:r>
    </w:p>
    <w:p>
      <w:pPr>
        <w:pStyle w:val="Heading2"/>
      </w:pPr>
      <w:r>
        <w:t>Herzinfarkt im erwerbstätigen Alter: Frauen zeigen stärkere Assoziationen mit psychischen Komorbiditäten als Männer</w:t>
      </w:r>
    </w:p>
    <w:p>
      <w:r>
        <w:rPr>
          <w:i/>
          <w:color w:val="666666"/>
          <w:sz w:val="18"/>
        </w:rPr>
        <w:t>Checa C et al.  ·  BMJ Open  ·  17.07.2026  ·  PMID 42468957</w:t>
      </w:r>
    </w:p>
    <w:p>
      <w:r>
        <w:t>Bevölkerungsbasierte Querschnittstudie aus Spanien mit 80 MI-Fällen unter 400 Erwerbstätigen (2020) zur Untersuchung von Geschlechtsunterschieden in Assoziation mit Risikofaktoren.</w:t>
      </w:r>
    </w:p>
    <w:p>
      <w:r>
        <w:rPr>
          <w:b/>
        </w:rPr>
        <w:t xml:space="preserve">Ergebnis: </w:t>
      </w:r>
      <w:r>
        <w:t>MI betraf überwiegend Männer (74,2 %). Bei Frauen waren Depression (OR 6,75, 95 %-KI 2,23–20,4), Adipositas (OR 6,36, 95 %-KI 1,62–24,9) und COPD (OR 27,7, 95 %-KI 4,21–749) stärker mit MI assoziiert; bei Männern Angststörungen (OR 8,65, 95 %-KI 3,09–26,8) und Hypertonie (OR 4,11, 95 %-KI 2,24–7,62). Der Unterschied liegt in unterschiedlichen Komorbiditätsmustern, nicht in Beschäftigungsfaktoren.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Versicherungssystem vergleichbar mit Deutschland; populationsgestützte Daten mit Geschlechtsstratifikation.</w:t>
      </w:r>
    </w:p>
    <w:p>
      <w:r>
        <w:rPr>
          <w:color w:val="5A7D3A"/>
          <w:sz w:val="18"/>
        </w:rPr>
        <w:t>https://pubmed.ncbi.nlm.nih.gov/42468957/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2026-08-23T06:00:00Z</dcterms:created>
  <dcterms:modified xsi:type="dcterms:W3CDTF">2026-08-23T06:00:00Z</dcterms:modified>
  <cp:category/>
</cp:coreProperties>
</file>