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06.09.2026  |  6 Studien  |  gender.m-vf.de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Handgriffstärke bei rheumatoider Arthritis: Frauen erreichen 60% des Normwerts, Männer 66%, deutlicher Geschlechtsunterschied</w:t>
      </w:r>
    </w:p>
    <w:p>
      <w:r>
        <w:rPr>
          <w:i/>
          <w:color w:val="666666"/>
          <w:sz w:val="18"/>
        </w:rPr>
        <w:t>Khojakulova U et al.  ·  Rheumatol Int  ·  04.09.2026  ·  PMID 42696125</w:t>
      </w:r>
    </w:p>
    <w:p>
      <w:r>
        <w:t>Querschnittstudie mit 70 RA-Patienten (78,6% Frauen) zur Erfassung der Handgriffstärke relativ zu alters- und geschlechtsspezifischen Referenznormen und Assoziation mit klinischen Faktoren.</w:t>
      </w:r>
    </w:p>
    <w:p>
      <w:r>
        <w:rPr>
          <w:b/>
        </w:rPr>
        <w:t xml:space="preserve">Ergebnis: </w:t>
      </w:r>
      <w:r>
        <w:t>Mittlere maximale Handgriffstärke 23,9±8,8 kg; niedrige Werte bei 28,6% (20% Frauen, 60% Männer). Vs. Norm: Männer median z=-1,71 (p=0,001), Frauen median z=-0,55 (p&lt;0,001). Inverse Korrelation mit Alter (ρ=-0,4; p=0,001) und Rauchen (ρ=-0,41; p=0,001), positive mit BMI (ρ=0,35; p=0,003). Höheres Alter war unabhängig mit reduzierter Griffstärke assoziiert (B=-0,21 kg/Jahr; p=0,012). Befund: Geschlechtsspezifische Normen wichtig für Sarkopenie-Diagnostik.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Kasachstan/Südeuropa-Kohort e, aber Messmethoden international standardisiert; Relevanz für deutsches Rheumatologie-Screening.</w:t>
      </w:r>
    </w:p>
    <w:p>
      <w:r>
        <w:rPr>
          <w:color w:val="5A7D3A"/>
          <w:sz w:val="18"/>
        </w:rPr>
        <w:t>https://pubmed.ncbi.nlm.nih.gov/42696125/</w:t>
      </w:r>
    </w:p>
    <w:p>
      <w:pPr>
        <w:pStyle w:val="Heading2"/>
      </w:pPr>
      <w:r>
        <w:t>LGBTQ+-Fachpersonen in Portugal erleben Diskriminierung und navigieren Sichtbarkeitspraktiken am Arbeitsplatz</w:t>
      </w:r>
    </w:p>
    <w:p>
      <w:r>
        <w:rPr>
          <w:i/>
          <w:color w:val="666666"/>
          <w:sz w:val="18"/>
        </w:rPr>
        <w:t>Pieri M  ·  Front Public Health  ·  11.08.2026  ·  PMID 42643510</w:t>
      </w:r>
    </w:p>
    <w:p>
      <w:r>
        <w:t>Qualitative Studie mit 17 LGBTQ+-Fachpersonen im portugiesischen öffentlichen Gesundheitswesen zu deren Arbeitserfahrungen, Sichtbarkeitspraxen und Diskriminierung.</w:t>
      </w:r>
    </w:p>
    <w:p>
      <w:r>
        <w:rPr>
          <w:b/>
        </w:rPr>
        <w:t xml:space="preserve">Ergebnis: </w:t>
      </w:r>
      <w:r>
        <w:t>Kernbefunde: Fachpersonen pendeln zwischen Zurückhaltung beim Offenbaren ihrer Identität und Widerstandsmikropraktiken gegen Diskriminierung. Verbale Misshandlung in interprofessionellen Beziehungen kam häufig vor. Mikropraktiken beeinflussen Definition LGBTQ+-freundlicher Arbeitsumgebungen erheblich. Studie unterstreicht Notwendigkeit weiterer Forschung zu Sichtbarkeit im Gesundheitswesen.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(Süd-/Südosteuropa), ähnliche europäische Systeme, aber strukturelle Unterschiede zu deutschsprachigen Ländern.</w:t>
      </w:r>
    </w:p>
    <w:p>
      <w:r>
        <w:rPr>
          <w:color w:val="5A7D3A"/>
          <w:sz w:val="18"/>
        </w:rPr>
        <w:t>https://pubmed.ncbi.nlm.nih.gov/42643510/</w:t>
      </w:r>
    </w:p>
    <w:p>
      <w:pPr>
        <w:pStyle w:val="Heading2"/>
      </w:pPr>
      <w:r>
        <w:t>LGBTQIA+-Minderheitsstress-Skala für Spanien validiert: zeigt psychische Belastung und differenzielle Betroffenheit</w:t>
      </w:r>
    </w:p>
    <w:p>
      <w:r>
        <w:rPr>
          <w:i/>
          <w:color w:val="666666"/>
          <w:sz w:val="18"/>
        </w:rPr>
        <w:t>Nebot-Garcia JE et al.  ·  Arch Sex Behav  ·  06.07.2026  ·  PMID 42406308</w:t>
      </w:r>
    </w:p>
    <w:p>
      <w:r>
        <w:t>Validierungsstudie der spanischen Version einer Skala zur Erfassung von Minderheitsstress (Stigma, Diskriminierung, Viktimisierung) bei 3.254 LGBTQIA+-Erwachsenen in Spanien.</w:t>
      </w:r>
    </w:p>
    <w:p>
      <w:r>
        <w:rPr>
          <w:b/>
        </w:rPr>
        <w:t xml:space="preserve">Ergebnis: </w:t>
      </w:r>
      <w:r>
        <w:t>Fünf-Faktor-Struktur bestätigt (Identitätsverbergen, Ablehnungsanticipation, Diskriminierungserfahrungen, internalisierte Stigma, Viktimisierung). Skala zeigte gute interne Konsistenz und Konstruktvalidität; Messinvarianz über Geschlechterkategorien (Männer, Frauen, nichtbinär). LGBTQIA+-Minderheitsstress korreliert mit Angst und Depression. Skala kann Forschung und Intervention bei den am stärksten betroffenen Gruppen leiten.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(Südwesteuropa), vergleichbar mit deutschsprachigen LGBTQIA+-Populationen; aber Unterschied: keine Pflegeversicherung wie Deutschland.</w:t>
      </w:r>
    </w:p>
    <w:p>
      <w:r>
        <w:rPr>
          <w:color w:val="5A7D3A"/>
          <w:sz w:val="18"/>
        </w:rPr>
        <w:t>https://pubmed.ncbi.nlm.nih.gov/42406308/</w:t>
      </w:r>
    </w:p>
    <w:p>
      <w:pPr>
        <w:pStyle w:val="Heading2"/>
      </w:pPr>
      <w:r>
        <w:t>Klinische Kompetenzen für LGBTQ-Versorgung: Hausärzte zeigen niedrigere Werte als Psychiater, Schulung hilft</w:t>
      </w:r>
    </w:p>
    <w:p>
      <w:r>
        <w:rPr>
          <w:i/>
          <w:color w:val="666666"/>
          <w:sz w:val="18"/>
        </w:rPr>
        <w:t>Cruciani G et al.  ·  LGBT Health  ·  15.06.2026  ·  PMID 42295979</w:t>
      </w:r>
    </w:p>
    <w:p>
      <w:r>
        <w:t>Querschnittstudie mit 165 italienischen Fachpersonen (Hausarzt, Sexualmedizin, Psychiatrie) zur Untersuchung von Faktoren, die klinische Fähigkeiten in LGBTQ-Versorgung beeinflussen.</w:t>
      </w:r>
    </w:p>
    <w:p>
      <w:r>
        <w:rPr>
          <w:b/>
        </w:rPr>
        <w:t xml:space="preserve">Ergebnis: </w:t>
      </w:r>
      <w:r>
        <w:t>Hausärzte berichteten signifikant niedrigere klinische Fähigkeiten, höhere heteronormative Überzeugungen und Vorurteile als Psychiater; auch niedrigste LGBTQ-Schulungsteilnahme unter Gruppen. Höhere klinische Fähigkeiten waren assoziiert mit niedrigeren heteronormativen Überzeugungen (p&lt;0,05), LGBTQ-Schulungsteilnahme und Kontakt mit LGBTQ-Personen im privaten Umfeld. Befund: Gezielte Schulungen und Leitlinien nötig, um Heteronormativität in Versorgung zu verringern.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mediterranes Südeuropa; DACH-System hat ähnliche Lücken in LGBTQ-Lehrplänen.</w:t>
      </w:r>
    </w:p>
    <w:p>
      <w:r>
        <w:rPr>
          <w:color w:val="5A7D3A"/>
          <w:sz w:val="18"/>
        </w:rPr>
        <w:t>https://pubmed.ncbi.nlm.nih.gov/42295979/</w:t>
      </w:r>
    </w:p>
    <w:p>
      <w:pPr>
        <w:pStyle w:val="Heading2"/>
      </w:pPr>
      <w:r>
        <w:t>Reproduktive Belastungen, nicht biologisches Geschlecht, erklären erhöhtes Osteoarthrose-Risiko von Frauen</w:t>
      </w:r>
    </w:p>
    <w:p>
      <w:r>
        <w:rPr>
          <w:i/>
          <w:color w:val="666666"/>
          <w:sz w:val="18"/>
        </w:rPr>
        <w:t>Das S et al.  ·  BMC Public Health  ·  02.06.2026  ·  PMID 42231317</w:t>
      </w:r>
    </w:p>
    <w:p>
      <w:r>
        <w:t>Deutsche Bevölkerungsstudie mit 4.687 Personen (davon 2.359 Frauen) zur Untersuchung, ob das höhere Osteoarthrose-Risiko von Frauen auf biologische Geschlechtsentwicklung oder auf reproduktive Kosten (Schwangerschaft, Elternschaft) zurückzuführen ist.</w:t>
      </w:r>
    </w:p>
    <w:p>
      <w:r>
        <w:rPr>
          <w:b/>
        </w:rPr>
        <w:t xml:space="preserve">Ergebnis: </w:t>
      </w:r>
      <w:r>
        <w:t>Kein signifikanter OA-Unterschied zwischen kinderlosen Männern (37%) und Frauen (44%; p=0,081). Frauen mit Kindern hatten aber höheres OA-Risiko als kinderlose Frauen (51% vs. 44%; p=0,047). OA-Risiko stieg bei Frauen pro Kind um 0,10 (95% KI 0,03–0,179; p=0,006), nicht bei Männern (p=0,660). Befund: Geschlechtsdimorphismus entsteht durch reproduktive Kosten, nicht durch Biologie.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DEAS-Bevölkerungsdaten mit großer Stichprobe, aussagekräftig für deutsches Versicherungssystem.</w:t>
      </w:r>
    </w:p>
    <w:p>
      <w:r>
        <w:rPr>
          <w:color w:val="5A7D3A"/>
          <w:sz w:val="18"/>
        </w:rPr>
        <w:t>https://pubmed.ncbi.nlm.nih.gov/42231317/</w:t>
      </w:r>
    </w:p>
    <w:p>
      <w:pPr>
        <w:pStyle w:val="Heading2"/>
      </w:pPr>
      <w:r>
        <w:t>Frühe Multiple-Sklerose-Verläufe zeigen keine substanziellen Geschlechtsunterschiede in Behinderung oder Therapiestart</w:t>
      </w:r>
    </w:p>
    <w:p>
      <w:r>
        <w:rPr>
          <w:i/>
          <w:color w:val="666666"/>
          <w:sz w:val="18"/>
        </w:rPr>
        <w:t>Poser PL et al.  ·  Mult Scler  ·  01.06.2026  ·  PMID 42224266</w:t>
      </w:r>
    </w:p>
    <w:p>
      <w:r>
        <w:t>Deutsche Multizenter-Kohorte mit 1.210 therapienaiven Patienten zur Analyse von Geschlechtsunterschieden in Relapse-Präsentation, Behinderungsentwicklung und Behandlung mit Immunmodulatoren in der frühen MS-Phase.</w:t>
      </w:r>
    </w:p>
    <w:p>
      <w:r>
        <w:rPr>
          <w:b/>
        </w:rPr>
        <w:t xml:space="preserve">Ergebnis: </w:t>
      </w:r>
      <w:r>
        <w:t>Keine signifikanten Geschlechtsunterschiede bei Relapse-Präsentation, Zeit bis EDSS ≥3,0 (adjustierte HR 1,32; 95% KI 0,95–1,81) oder DMT-Exposition (p=0,60). Initial hocheffektive Therapie erhielten nur ~5% beider Geschlechter; Prädiktoren waren jüngeres Alter (OR 0,95; p=0,001), höhere Baseline-EDSS (OR 1,79; p&lt;0,001) und RRMS-Diagnose (OR 2,26; p=0,007), nicht aber Geschlecht (OR 0,99; p=0,94). Befunde deuten auf Wandel früherer Geschlechtsmuster und geringere Geschlechtsbias bei Therapieentscheidungen in spezialisierten MS-Zentren.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spezialisierte MS-Zentren mit Routinedaten, vergleichbare Versorgungsstrukturen.</w:t>
      </w:r>
    </w:p>
    <w:p>
      <w:r>
        <w:rPr>
          <w:color w:val="5A7D3A"/>
          <w:sz w:val="18"/>
        </w:rPr>
        <w:t>https://pubmed.ncbi.nlm.nih.gov/42224266/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