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Geschlechtersensible Medizin</w:t>
      </w:r>
    </w:p>
    <w:p>
      <w:r>
        <w:rPr>
          <w:i/>
          <w:color w:val="666666"/>
          <w:sz w:val="18"/>
        </w:rPr>
        <w:t>Stand: 23.10.2026  |  6 Studien  |  gender.m-vf.de</w:t>
      </w:r>
    </w:p>
    <w:p>
      <w:pPr>
        <w:pStyle w:val="Heading1"/>
      </w:pPr>
      <w:r>
        <w:t>Aufgenommen am 23.10.2026</w:t>
      </w:r>
    </w:p>
    <w:p>
      <w:pPr>
        <w:pStyle w:val="Heading2"/>
      </w:pPr>
      <w:r>
        <w:t>Depressive und Angststörungssymptome bei Gewalt in Partnerschaften: Netzwerkanalyse bei trans Frauen</w:t>
      </w:r>
    </w:p>
    <w:p>
      <w:r>
        <w:rPr>
          <w:i/>
          <w:color w:val="666666"/>
          <w:sz w:val="18"/>
        </w:rPr>
        <w:t>Xu L et al.  ·  BMC Public Health  ·  27.07.2026  ·  PMID 42907817</w:t>
      </w:r>
    </w:p>
    <w:p>
      <w:r>
        <w:t>Querschnittsstudie mit 264 trans Frauen in China, die Zusammenhänge zwischen erlebter Partnergewalt und psychischen Symptomen mittels Netzwerkanalyse untersuchte.</w:t>
      </w:r>
    </w:p>
    <w:p>
      <w:r>
        <w:rPr>
          <w:b/>
        </w:rPr>
        <w:t xml:space="preserve">Ergebnis: </w:t>
      </w:r>
      <w:r>
        <w:t>83,7% (221/264) berichteten Partnergewalt. Zentrale Symptome waren Schuldgefühle (PHQ-6), unkontrollierte Sorge und Nervosität (GAD-2/1). Unerwartete Brückensymptome zwischen Depression und Angst: unkontrollierte Sorge, Suizidgedanken und Unruhe. Direkteste Verbindung zwischen Gewalt und Psyche: Unruhe und depressive Verstimmung. Keine signifikanten Unterschiede in Netzwerkstruktur zwischen Gewalt- und Nicht-Gewalt-Gruppe.</w:t>
      </w:r>
    </w:p>
    <w:p>
      <w:r>
        <w:rPr>
          <w:b/>
          <w:sz w:val="19"/>
        </w:rPr>
        <w:t xml:space="preserve">Übertragbarkeit: </w:t>
      </w:r>
      <w:r>
        <w:rPr>
          <w:sz w:val="19"/>
        </w:rPr>
        <w:t>China; Querschnittdesign erlaubt keine Kausalitätsaussage, Hypothesengenerierung für Interventionen</w:t>
      </w:r>
    </w:p>
    <w:p>
      <w:r>
        <w:rPr>
          <w:color w:val="5A7D3A"/>
          <w:sz w:val="18"/>
        </w:rPr>
        <w:t>https://pubmed.ncbi.nlm.nih.gov/42907817/</w:t>
      </w:r>
    </w:p>
    <w:p>
      <w:pPr>
        <w:pStyle w:val="Heading2"/>
      </w:pPr>
      <w:r>
        <w:t>Geschlechtunterschiede bei neurodegenerativen Erkrankungen: Rollen von Östrogen und Genetik</w:t>
      </w:r>
    </w:p>
    <w:p>
      <w:r>
        <w:rPr>
          <w:i/>
          <w:color w:val="666666"/>
          <w:sz w:val="18"/>
        </w:rPr>
        <w:t>Ichihara G et al.  ·  Environ Health Prev Med  ·  2026  ·  PMID 42907382</w:t>
      </w:r>
    </w:p>
    <w:p>
      <w:r>
        <w:t>Symposium-Zusammenfassung mit Übersichtsvorträgen zu Geschlechtsunterschieden in neurodegenerativen Erkrankungen (Alzheimer) und einer Originalarbeit zu Geschlechtsunterschieden im Verhalten von Zwillingen.</w:t>
      </w:r>
    </w:p>
    <w:p>
      <w:r>
        <w:rPr>
          <w:b/>
        </w:rPr>
        <w:t xml:space="preserve">Ergebnis: </w:t>
      </w:r>
      <w:r>
        <w:t>Sprecher identifizierten biologische Unterschiede in Östrogeneffekten, Steroidhormon-Rezeptorregulation und genetischen Faktoren bei neurodegenerativen Erkrankungen. Schlussfolgerung: weitere Forschung nötig zur Klärung der Rollen von Östrogen und genetischen Faktoren in den Mechanismen der Geschlechtsunterschiede. Keine konkreten Zahlen oder neuen Befunde berichtet.</w:t>
      </w:r>
    </w:p>
    <w:p>
      <w:r>
        <w:rPr>
          <w:b/>
          <w:sz w:val="19"/>
        </w:rPr>
        <w:t xml:space="preserve">Übertragbarkeit: </w:t>
      </w:r>
      <w:r>
        <w:rPr>
          <w:sz w:val="19"/>
        </w:rPr>
        <w:t>Japan; Überblicks-Symposium ohne spezifische Versorgungsmassnahmen oder neue Interventionsdaten</w:t>
      </w:r>
    </w:p>
    <w:p>
      <w:r>
        <w:rPr>
          <w:color w:val="5A7D3A"/>
          <w:sz w:val="18"/>
        </w:rPr>
        <w:t>https://pubmed.ncbi.nlm.nih.gov/42907382/</w:t>
      </w:r>
    </w:p>
    <w:p>
      <w:pPr>
        <w:pStyle w:val="Heading2"/>
      </w:pPr>
      <w:r>
        <w:t>Unterernährung bei Kindern in Vietnams armen Bezirken: ethnische und biologische Unterschiede</w:t>
      </w:r>
    </w:p>
    <w:p>
      <w:r>
        <w:rPr>
          <w:i/>
          <w:color w:val="666666"/>
          <w:sz w:val="18"/>
        </w:rPr>
        <w:t>Nguyen TS et al.  ·  Matern Child Nutr  ·  Okt. 2026  ·  PMID 42905975</w:t>
      </w:r>
    </w:p>
    <w:p>
      <w:r>
        <w:t>Querschnittsstudie mit 7.747 Kindern (0–71 Monate) und ihren Müttern aus zehn armen Bezirken Vietnams zu Prävalenz und Determinanten von Unterernährung.</w:t>
      </w:r>
    </w:p>
    <w:p>
      <w:r>
        <w:rPr>
          <w:b/>
        </w:rPr>
        <w:t xml:space="preserve">Ergebnis: </w:t>
      </w:r>
      <w:r>
        <w:t>Stunting-Prävalenz 40,1%, Untergewicht 21,4%, Auszehrung 5,7%, Übergewicht 3,0%. Hmong-Kinder zeigten aOR=2,74 für Stunting, Ra-Glai-Kinder aOR=2,11 (vs. Kinh). Ra-Glai-Kinder zusätzlich erhöht für Auszehrung (aOR=3,27) und kombiniertes Stunting-Wasting (aOR=8,47). Männliches Geschlecht, niedriges Geburtsgewicht (&lt;2.500 g) und weniger als vier pränatale Besuche unabhängig assoziiert mit Stunting/Untergewicht; Geburtsgewicht ≥3.000 g protektiv.</w:t>
      </w:r>
    </w:p>
    <w:p>
      <w:r>
        <w:rPr>
          <w:b/>
          <w:sz w:val="19"/>
        </w:rPr>
        <w:t xml:space="preserve">Übertragbarkeit: </w:t>
      </w:r>
      <w:r>
        <w:rPr>
          <w:sz w:val="19"/>
        </w:rPr>
        <w:t>Vietnam; zeigt biologische (Geschlecht, Geburtsgewicht) und strukturelle (Ethnizität, Zugang zu pränataler Versorgung) Faktoren</w:t>
      </w:r>
    </w:p>
    <w:p>
      <w:r>
        <w:rPr>
          <w:color w:val="5A7D3A"/>
          <w:sz w:val="18"/>
        </w:rPr>
        <w:t>https://pubmed.ncbi.nlm.nih.gov/42905975/</w:t>
      </w:r>
    </w:p>
    <w:p>
      <w:pPr>
        <w:pStyle w:val="Heading2"/>
      </w:pPr>
      <w:r>
        <w:t>PrEP-Aufklärung für trans Frauen: Instagram-Kampagne mit Influencern</w:t>
      </w:r>
    </w:p>
    <w:p>
      <w:r>
        <w:rPr>
          <w:i/>
          <w:color w:val="666666"/>
          <w:sz w:val="18"/>
        </w:rPr>
        <w:t>Zamudio-Haas S et al.  ·  Behav Med  ·  21.10.2026  ·  PMID 42904428</w:t>
      </w:r>
    </w:p>
    <w:p>
      <w:r>
        <w:t>Qualitative Studie mit Community Advisory Board zur Entwicklung einer Instagram-Kampagne durch trans Influencerinnen (n=8) zur Erhöhung von PrEP-Bewusstsein, Wissen und Inanspruchnahme bei trans Frauen in den USA.</w:t>
      </w:r>
    </w:p>
    <w:p>
      <w:r>
        <w:rPr>
          <w:b/>
        </w:rPr>
        <w:t xml:space="preserve">Ergebnis: </w:t>
      </w:r>
      <w:r>
        <w:t>Community-Beratung identifizierte drei zentrale Themen für Kampagnendesign: 1) Plattformfunktionalität maximieren, 2) Repräsentation und Resonanz erhöhen, 3) Vertrauen und Glaubwürdigkeit fördern. Mit CAB wurden Influencerinnen ausgewählt, 10-Stunden-Workshop für PrEP-Schulung durchgeführt. Intervention konzipiert, um Zugang zu PrEP-Information durch vertraute Quellen, Dialog im digitalen Raum und Verlinkung zu geschlechtsangleichungs-affirmen HIV-Diensten zu schaffen. Förderung unterbrochen vor Implementierung.</w:t>
      </w:r>
    </w:p>
    <w:p>
      <w:r>
        <w:rPr>
          <w:b/>
          <w:sz w:val="19"/>
        </w:rPr>
        <w:t xml:space="preserve">Übertragbarkeit: </w:t>
      </w:r>
      <w:r>
        <w:rPr>
          <w:sz w:val="19"/>
        </w:rPr>
        <w:t>USA; transgendered Frauen als vulnerable Gruppe; Transferpotenzial für Deutschland gering (Zugangsstrukturen unterschiedlich)</w:t>
      </w:r>
    </w:p>
    <w:p>
      <w:r>
        <w:rPr>
          <w:color w:val="5A7D3A"/>
          <w:sz w:val="18"/>
        </w:rPr>
        <w:t>https://pubmed.ncbi.nlm.nih.gov/42904428/</w:t>
      </w:r>
    </w:p>
    <w:p>
      <w:pPr>
        <w:pStyle w:val="Heading2"/>
      </w:pPr>
      <w:r>
        <w:t>Geschlechtstransformative Massnahmen als Strategie zur Stärkung von Gesundheitssystemen</w:t>
      </w:r>
    </w:p>
    <w:p>
      <w:r>
        <w:rPr>
          <w:i/>
          <w:color w:val="666666"/>
          <w:sz w:val="18"/>
        </w:rPr>
        <w:t>Vandi M et al.  ·  Int J Equity Health  ·  20.10.2026  ·  PMID 42902250</w:t>
      </w:r>
    </w:p>
    <w:p>
      <w:r>
        <w:t>Standpunktarbeit mit dreistufigem Rahmen (Kapazität, institutionelle Strukturen, kontextuelle Barrieren) zur Integration von Geschlechts-Chancengleichheit in Gesundheitssystemen.</w:t>
      </w:r>
    </w:p>
    <w:p>
      <w:r>
        <w:rPr>
          <w:b/>
        </w:rPr>
        <w:t xml:space="preserve">Ergebnis: </w:t>
      </w:r>
      <w:r>
        <w:t>Vier praktische Handlungsfelder benannt: 1) geschlechtssensible Schulung und Mentoring, 2) gerechte Governance und Arbeitsreformen, 3) Gemeindeengagement und Normenveränderung, 4) gestärkte digitale Geschlechterdatensysteme. Argumentiert, dass isolierte Interventionen ohne Umverteilung von Macht und Ressourcen nicht haltbar sind. Gibt konzeptionelle Rahmen, keine empirischen Effektgrößen.</w:t>
      </w:r>
    </w:p>
    <w:p>
      <w:r>
        <w:rPr>
          <w:b/>
          <w:sz w:val="19"/>
        </w:rPr>
        <w:t xml:space="preserve">Übertragbarkeit: </w:t>
      </w:r>
      <w:r>
        <w:rPr>
          <w:sz w:val="19"/>
        </w:rPr>
        <w:t>Sierra Leone, global; Rahmenwerk, keine Wirksamkeitsdaten; Transferpotenzial liegt in Leitlinienentwicklung</w:t>
      </w:r>
    </w:p>
    <w:p>
      <w:r>
        <w:rPr>
          <w:color w:val="5A7D3A"/>
          <w:sz w:val="18"/>
        </w:rPr>
        <w:t>https://pubmed.ncbi.nlm.nih.gov/42902250/</w:t>
      </w:r>
    </w:p>
    <w:p>
      <w:pPr>
        <w:pStyle w:val="Heading2"/>
      </w:pPr>
      <w:r>
        <w:t>Magenkrebs weltweit: Geschlechter- und Entwicklungsunterschiede 1990–2036</w:t>
      </w:r>
    </w:p>
    <w:p>
      <w:r>
        <w:rPr>
          <w:i/>
          <w:color w:val="666666"/>
          <w:sz w:val="18"/>
        </w:rPr>
        <w:t>Bi X et al.  ·  Medicine (Baltimore)  ·  09.10.2026  ·  PMID 42854019</w:t>
      </w:r>
    </w:p>
    <w:p>
      <w:r>
        <w:t>Analyse der Global Burden of Disease Study 2021 mit Joinpoint-Regression zu Magenkrebs-Inzidenz, Mortalität und Behinderungsgewicht in 204 Ländern von 1990–2021 sowie Prognosen bis 2036.</w:t>
      </w:r>
    </w:p>
    <w:p>
      <w:r>
        <w:rPr>
          <w:b/>
        </w:rPr>
        <w:t xml:space="preserve">Ergebnis: </w:t>
      </w:r>
      <w:r>
        <w:t>Fallzahlen stiegen von 1990 zu 2021, altersstandardisierte Raten (Inzidenz, Mortalität, Disability) sanken. Männer durchgehend höhere Krankheitslast als Frauen in allen Altersgruppen. Kluft zwischen High-SDI- und Low-SDI-Ländern schrumpfend; unterentwickelte Länder tragen relativ schwerere Last. Bayesian-Modell prognostiziert weiteren globalen Rückgang bis 2036.</w:t>
      </w:r>
    </w:p>
    <w:p>
      <w:r>
        <w:rPr>
          <w:b/>
          <w:sz w:val="19"/>
        </w:rPr>
        <w:t xml:space="preserve">Übertragbarkeit: </w:t>
      </w:r>
      <w:r>
        <w:rPr>
          <w:sz w:val="19"/>
        </w:rPr>
        <w:t>Global; zeigt robuste Geschlechtsdisparität als biologisches oder Verhaltensphänomen; Deutschland im High-SDI-Segment</w:t>
      </w:r>
    </w:p>
    <w:p>
      <w:r>
        <w:rPr>
          <w:color w:val="5A7D3A"/>
          <w:sz w:val="18"/>
        </w:rPr>
        <w:t>https://pubmed.ncbi.nlm.nih.gov/42854019/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Geschlechtersensible Medizin</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