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09.09.2026  |  6 Studien  |  gender.m-vf.de</w:t>
      </w:r>
    </w:p>
    <w:p>
      <w:pPr>
        <w:pStyle w:val="Heading1"/>
      </w:pPr>
      <w:r>
        <w:t>Aufgenommen am 09.09.2026</w:t>
      </w:r>
    </w:p>
    <w:p>
      <w:pPr>
        <w:pStyle w:val="Heading2"/>
      </w:pPr>
      <w:r>
        <w:t>Herz-Nieren-Transplantation: Frauen sterben in den ersten 90 Tagen häufiger</w:t>
      </w:r>
    </w:p>
    <w:p>
      <w:r>
        <w:rPr>
          <w:i/>
          <w:color w:val="666666"/>
          <w:sz w:val="18"/>
        </w:rPr>
        <w:t>Ramu B et al.  ·  J Card Fail  ·  Sept. 2026  ·  PMID 42710970</w:t>
      </w:r>
    </w:p>
    <w:p>
      <w:r>
        <w:t>25-Jahr-Analyse von 3.068 simultanen Herz-Nieren-Transplantationen (19,7% Frauen) aus dem US-UNOS-Register mit stratifizierten Cox-Regressionen.</w:t>
      </w:r>
    </w:p>
    <w:p>
      <w:r>
        <w:rPr>
          <w:b/>
        </w:rPr>
        <w:t xml:space="preserve">Ergebnis: </w:t>
      </w:r>
      <w:r>
        <w:t>Frauen perioperativ erhöhtes Sterblichkeitsrisiko (aHR 1,58 in den Tagen 0–90, 95%-CI 1,12–2,22, p=0,009), kein signifikanter Unterschied nach Tag 90 (aHR 0,91, p=0,729) oder nach 5 Jahren. Zeitfenster-Analyse im modernen Allokations-Ära zeigte aHR 1,78 (95%-CI 1,19–2,65, p=0,005). Frauen hatten mehr nicht-ischämische Kardiomyopathie und höheren pulmonalen Vaskulären Widerstand baseline. Ursache: perioperative Komplikationen und Zeitmangel zur Vorbereitung, nicht längerfristige biologische oder immunologische Unterschiede.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Sicherheitsbefund zu perioperativem Risiko transkulturell übertragbar; Deutschland fehlen Transplantations-Register dieser Auflösung.</w:t>
      </w:r>
    </w:p>
    <w:p>
      <w:r>
        <w:rPr>
          <w:color w:val="5A7D3A"/>
          <w:sz w:val="18"/>
        </w:rPr>
        <w:t>https://pubmed.ncbi.nlm.nih.gov/42710970/</w:t>
      </w:r>
    </w:p>
    <w:p>
      <w:pPr>
        <w:pStyle w:val="Heading2"/>
      </w:pPr>
      <w:r>
        <w:t>Frauen mit Bronchiektasen berichten höhere körperliche Aktivität, können aber kürzere Strecken gehen</w:t>
      </w:r>
    </w:p>
    <w:p>
      <w:r>
        <w:rPr>
          <w:i/>
          <w:color w:val="666666"/>
          <w:sz w:val="18"/>
        </w:rPr>
        <w:t>Bhat A et al.  ·  PLoS One  ·  02.09.2026  ·  PMID 42685034</w:t>
      </w:r>
    </w:p>
    <w:p>
      <w:r>
        <w:t>Querschnittstudie an 55 stabilen Bronchiektasen-Patienten in Südindien mit Messung von selbstberichteter körperlicher Aktivität (IPAQ), Dyspnoe (mMRC), 6-Minuten-Gehstrecke (6MWD) und Lebensqualität.</w:t>
      </w:r>
    </w:p>
    <w:p>
      <w:r>
        <w:rPr>
          <w:b/>
        </w:rPr>
        <w:t xml:space="preserve">Ergebnis: </w:t>
      </w:r>
      <w:r>
        <w:t>Frauen kürzere absolute 6MWD (≈57 m weniger), aber kein Unterschied in Prozent-des-Vorhergesagten verglichen mit Männern. Frauen berichteten höhere selbstberichtete körperliche Aktivität (+1.350 MET-min/Woche). Reduzierte 6MWD korreliert mit höherem Alter, weiblichem Geschlecht, erhöhter Exazerbationsfrequenz, höherer Dyspnoe-Schwere und höherer radiologischer Schwere. Dyspnoe-Schwere und radiologische Schwere unabhängig vorhersagend für funktionelle Leistungsfähigkeit. Ursache: Diskrepanz zwischen selbstberichteter und objektiver Aktivität deutet auf Geschlechtsunterschiede in Wahrnehmung oder Messung hin, nicht auf biologische Responsivitätsunterschiede.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Süd-Asien (Manipal, Indien); begrenzte Übertragbarkeit auf deutsches System, zeigt aber universelles Messbias-Problem bei Aktivitätsbewertung.</w:t>
      </w:r>
    </w:p>
    <w:p>
      <w:r>
        <w:rPr>
          <w:color w:val="5A7D3A"/>
          <w:sz w:val="18"/>
        </w:rPr>
        <w:t>https://pubmed.ncbi.nlm.nih.gov/42685034/</w:t>
      </w:r>
    </w:p>
    <w:p>
      <w:pPr>
        <w:pStyle w:val="Heading2"/>
      </w:pPr>
      <w:r>
        <w:t>Co-auftretende Stigmatisierung von HIV, Geschlechtlichkeit und Drogengebrauch beeinflusst mentale Gesundheit Jugendlicher in Kasachstan</w:t>
      </w:r>
    </w:p>
    <w:p>
      <w:r>
        <w:rPr>
          <w:i/>
          <w:color w:val="666666"/>
          <w:sz w:val="18"/>
        </w:rPr>
        <w:t>Gardner SD et al.  ·  Sex Health  ·  17.08.2026  ·  PMID 42289791</w:t>
      </w:r>
    </w:p>
    <w:p>
      <w:r>
        <w:t>Querschnittstudie an 216 HIV-negativen Jugendlichen und jungen Erwachsenen (116 Frauen, 110 Männer) in Almaty, Kasachstan mittels latenter Klassenanalyse der wahrgenommenen Stigmatisierung und psychischer Gesundheit.</w:t>
      </w:r>
    </w:p>
    <w:p>
      <w:r>
        <w:rPr>
          <w:b/>
        </w:rPr>
        <w:t xml:space="preserve">Ergebnis: </w:t>
      </w:r>
      <w:r>
        <w:t>Vier Stigmatisierungs-Klassen identifiziert: (1) niedrig alle Typen (26%); (2) niedrig HIV-Stigma, moderat Drogen- und Geschlechtsminoritäts-Stigma (44%); (3) moderat HIV- und Geschlechtsminoritäts-Stigma (9%); (4) hoch alle Typen (21%). Klasse 4 hatte höhere Odds für Geschlechtsminoritäts-Identifizierung (OR 2,70; 95%-CI 1,09–6,69), höhere Depression (M 13,88 vs. 9,00, p&lt;0,05) und Angst (M 9,00 vs. 5,2, p&lt;0,05) als Klasse 1. Klasse 2 2,47× höhere Odds für Tabakgebrauch und 2,06× für Alkoholkonsum. Ursache: Intersektionalität von Stigmatisierungsformen und Geschlechtsidentität, strukturell und psychologisch.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 (Mittelasien); begrenzte Übertragbarkeit auf Deutschland, da kulturelle Stigmatisierungsmuster unterschiedlich sind.</w:t>
      </w:r>
    </w:p>
    <w:p>
      <w:r>
        <w:rPr>
          <w:color w:val="5A7D3A"/>
          <w:sz w:val="18"/>
        </w:rPr>
        <w:t>https://pubmed.ncbi.nlm.nih.gov/42289791/</w:t>
      </w:r>
    </w:p>
    <w:p>
      <w:pPr>
        <w:pStyle w:val="Heading2"/>
      </w:pPr>
      <w:r>
        <w:t>Tiefenhirnstimulation bei Parkinson: Frauen älter, unter-behandelt, aber gleiche Erfolgsquoten</w:t>
      </w:r>
    </w:p>
    <w:p>
      <w:r>
        <w:rPr>
          <w:i/>
          <w:color w:val="666666"/>
          <w:sz w:val="18"/>
        </w:rPr>
        <w:t>Santos García D et al.  ·  Med Sci (Basel)  ·  27.04.2026  ·  PMID 42201009</w:t>
      </w:r>
    </w:p>
    <w:p>
      <w:r>
        <w:t>Prospektive Real-World-Registry-Studie zu 618 Parkinson-Patienten (57,6% Männer) mit gerätegestützter Therapie (DBS, Apomorphin-Pumpe, Levodopa-Infusion) an 40 spanischen Zentren.</w:t>
      </w:r>
    </w:p>
    <w:p>
      <w:r>
        <w:rPr>
          <w:b/>
        </w:rPr>
        <w:t xml:space="preserve">Ergebnis: </w:t>
      </w:r>
      <w:r>
        <w:t>Signifikante Geschlechtsdifferenz in DBS-Nutzung (73,1% Männer, p=0,006); Frauen älter bei Indikation (älter, höhere Levodopa-Äquivalenzdosis, schlechtere Lebensqualität und Aktivitäten des täglichen Lebens baseline). Nach 6 Monaten: OFF-Zeit sank, motorische und nicht-motorische Symptome sowie Lebensqualität verbesserten sich in beiden Gruppen; AADL-Verbesserung nur bei Männern im OFF-Zustand. Ursache: Therapiezugang (Selektion zu DBS bei Frauen geringer), nicht biologisch unterschiedliche Responsivität.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Spanisches Register mit Dokumentationsstandards ähnlich Deutschland; zeigt Zuteilungsunterschiede bei etablierter Technologie.</w:t>
      </w:r>
    </w:p>
    <w:p>
      <w:r>
        <w:rPr>
          <w:color w:val="5A7D3A"/>
          <w:sz w:val="18"/>
        </w:rPr>
        <w:t>https://pubmed.ncbi.nlm.nih.gov/42201009/</w:t>
      </w:r>
    </w:p>
    <w:p>
      <w:pPr>
        <w:pStyle w:val="Heading2"/>
      </w:pPr>
      <w:r>
        <w:t>PrEP-Abbruchquoten unter Sexarbeiterinnen deutlich höher als bei Männern</w:t>
      </w:r>
    </w:p>
    <w:p>
      <w:r>
        <w:rPr>
          <w:i/>
          <w:color w:val="666666"/>
          <w:sz w:val="18"/>
        </w:rPr>
        <w:t>Valencia J et al.  ·  Int J Infect Dis  ·  25.05.2026  ·  PMID 42190938</w:t>
      </w:r>
    </w:p>
    <w:p>
      <w:r>
        <w:t>Prospektive Kohortenstudie zur PrEP-Adhärenz bei 189 Sexarbeitern in Madrid, stratifiziert nach Geschlecht und Geschlechtsidentität.</w:t>
      </w:r>
    </w:p>
    <w:p>
      <w:r>
        <w:rPr>
          <w:b/>
        </w:rPr>
        <w:t xml:space="preserve">Ergebnis: </w:t>
      </w:r>
      <w:r>
        <w:t>Cisgender-Frauen zeigten höchste Abbruchquote (20,8 pro 100 Personenmonate, medianes Halten 3,8 Monate), Cisgender-Männer (aHR 0,37; 95%-CI 0,21–0,62) und Trans-Frauen (aHR 0,30; 0,18–0,50) signifikant niedrigeres Abbruchrisiko. Wohnungsinstabilität unabhängig mit erhöhtem Abbruchrisiko assoziiert (aHR 1,91; 95%-CI 1,17–3,12). Ursache: strukturelle Barrieren für Cisgender-Frauen, nicht Biologie.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Spanisches Gesundheitssystem mit Dokumentationspflichten vergleichbar mit Deutschland; Zugangsbarrieren für vulnerable Gruppen universell.</w:t>
      </w:r>
    </w:p>
    <w:p>
      <w:r>
        <w:rPr>
          <w:color w:val="5A7D3A"/>
          <w:sz w:val="18"/>
        </w:rPr>
        <w:t>https://pubmed.ncbi.nlm.nih.gov/42190938/</w:t>
      </w:r>
    </w:p>
    <w:p>
      <w:pPr>
        <w:pStyle w:val="Heading2"/>
      </w:pPr>
      <w:r>
        <w:t>Zentren für Frauenherzkrankheiten reduzieren Versorgungsungleichheiten bei Herzinfarkt</w:t>
      </w:r>
    </w:p>
    <w:p>
      <w:r>
        <w:rPr>
          <w:i/>
          <w:color w:val="666666"/>
          <w:sz w:val="18"/>
        </w:rPr>
        <w:t>Grapsa J et al.  ·  Eur Heart J  ·  03.08.2026  ·  PMID 42189053</w:t>
      </w:r>
    </w:p>
    <w:p>
      <w:r>
        <w:t>European consensus statement zur Etablierung von Frauenherzzentern als Struktur zur Reduktion diagnostischer und therapeutischer Disparitäten in der Kardiologie.</w:t>
      </w:r>
    </w:p>
    <w:p>
      <w:r>
        <w:rPr>
          <w:b/>
        </w:rPr>
        <w:t xml:space="preserve">Ergebnis: </w:t>
      </w:r>
      <w:r>
        <w:t>Frauen haben höhere kardiovaskuläre Mortalität und erhalten weniger diagnostische Tests und Interventionen als Männer; spezialisierte Frauenherzenzentren zeigen verbesserte diagnostische Genauigkeit, bessere Risikofaktorkontrolle und höhere Patientenzufriedenheit, ohne dass langfristige Outcome-Daten zur Mortalitätsreduktion vorliegen. Strukturelle Massnahme zur Reduktion eines bekannten Unterschieds.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Konsensus-Statement; Übertragbarkeit auf deutsches System mit vergleichbarer Kardiologie-Struktur gegeben.</w:t>
      </w:r>
    </w:p>
    <w:p>
      <w:r>
        <w:rPr>
          <w:color w:val="5A7D3A"/>
          <w:sz w:val="18"/>
        </w:rPr>
        <w:t>https://pubmed.ncbi.nlm.nih.gov/42189053/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2026-09-09T06:00:00Z</dcterms:created>
  <dcterms:modified xsi:type="dcterms:W3CDTF">2026-09-09T06:00:00Z</dcterms:modified>
  <cp:category/>
</cp:coreProperties>
</file>