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Geschlechtersensible Medizin</w:t>
      </w:r>
    </w:p>
    <w:p>
      <w:r>
        <w:rPr>
          <w:i/>
          <w:color w:val="666666"/>
          <w:sz w:val="18"/>
        </w:rPr>
        <w:t>Stand: 25.10.2026  |  6 Studien  |  gender.m-vf.de</w:t>
      </w:r>
    </w:p>
    <w:p>
      <w:pPr>
        <w:pStyle w:val="Heading1"/>
      </w:pPr>
      <w:r>
        <w:t>Aufgenommen am 25.10.2026</w:t>
      </w:r>
    </w:p>
    <w:p>
      <w:pPr>
        <w:pStyle w:val="Heading2"/>
      </w:pPr>
      <w:r>
        <w:t>Gestationsdiabetes: Inzidenz stieg in London von 80,5 auf 138 pro 1.000 Geburten</w:t>
      </w:r>
    </w:p>
    <w:p>
      <w:r>
        <w:rPr>
          <w:i/>
          <w:color w:val="666666"/>
          <w:sz w:val="18"/>
        </w:rPr>
        <w:t>Sousi S et al.  ·  BMC Med  ·  28.07.2026  ·  PMID 42920155</w:t>
      </w:r>
    </w:p>
    <w:p>
      <w:r>
        <w:t>Routinedatenanalyse von 172.332 Geburten in Nordwestlondon 2017–2025 untersuchte ethnische und sozioökonomische Unterschiede in GDM-Häufigkeit und Schwangerschaftsergebnissen.</w:t>
      </w:r>
    </w:p>
    <w:p>
      <w:r>
        <w:rPr>
          <w:b/>
        </w:rPr>
        <w:t xml:space="preserve">Ergebnis: </w:t>
      </w:r>
      <w:r>
        <w:t>GDM-Inzidenz stieg von 80,5 pro 1.000 Geburten (2017) auf 138 pro 1.000 (2025). Asiatische Frauen hatten höchstes Risiko (aOR 2,27, 95%-KI 2,15–2,40 vs. Weiße). Deprivation erhöhte Risiko (119 vs. 85,4 in ärmsten vs. wohlhabendsten Quintilen). GDM assoziiert mit höherer Induktionsrate (51 % vs. 41 %), Kaiserschnitt (47 % vs. 36 %), Frühgeburt (7,3 % vs. 5,2 %), höheren Kosten (£4.674 vs. £3.971) und längerer Verweildauer (3 vs. 2 Tage).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NHS-Daten, vergleichbare Dokumentation wie Deutschland; ethnische Unterschiede nur teilweise auf Biologie zurückführbar.</w:t>
      </w:r>
    </w:p>
    <w:p>
      <w:r>
        <w:rPr>
          <w:color w:val="5A7D3A"/>
          <w:sz w:val="18"/>
        </w:rPr>
        <w:t>https://pubmed.ncbi.nlm.nih.gov/42920155/</w:t>
      </w:r>
    </w:p>
    <w:p>
      <w:pPr>
        <w:pStyle w:val="Heading2"/>
      </w:pPr>
      <w:r>
        <w:t>Geschlechtsangleichende Hormonte und PrEP: Pilotklinik erreichte 85 % Folgevisiten</w:t>
      </w:r>
    </w:p>
    <w:p>
      <w:r>
        <w:rPr>
          <w:i/>
          <w:color w:val="666666"/>
          <w:sz w:val="18"/>
        </w:rPr>
        <w:t>DiStefano N et al.  ·  J Prim Care Community Health  ·  23.10.2026  ·  PMID 42913457</w:t>
      </w:r>
    </w:p>
    <w:p>
      <w:r>
        <w:t>Implementierungsstudie einer studentisch geleiteten Klinik für gender-affirming care und STI-Prävention bei LGBTQIA+-Patienten, Januar–Dezember 2024; Auswertung von Patientenergebnissen und Stakeholder-Feedback.</w:t>
      </w:r>
    </w:p>
    <w:p>
      <w:r>
        <w:rPr>
          <w:b/>
        </w:rPr>
        <w:t xml:space="preserve">Ergebnis: </w:t>
      </w:r>
      <w:r>
        <w:t>Klinik versorgte 42 Patienten; 36 erhielten geschlechtsangleichende Hormontherapie (GAHT), davon 63,9 % auch PrEP. Retentionsraten hoch: 85,4 % Folgevisit innerhalb 90 Tagen, 97,6 % holten Medikamente nach Erstbesuch ab, 82,9 % setzten regelmäßige Medikamentenabholung fort. Qualitatives Stakeholder-Feedback: Responsivität auf politisches Klima, effektive klinische Versorgung, unterstützende Lernkultur.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USA-Pilotklinik; Modell für spezialisierte LGBTQIA+-Versorgung konzeptionell übertragbar, aber Zugangsbarrieren (US-Gesundheitssystem) nicht.</w:t>
      </w:r>
    </w:p>
    <w:p>
      <w:r>
        <w:rPr>
          <w:color w:val="5A7D3A"/>
          <w:sz w:val="18"/>
        </w:rPr>
        <w:t>https://pubmed.ncbi.nlm.nih.gov/42913457/</w:t>
      </w:r>
    </w:p>
    <w:p>
      <w:pPr>
        <w:pStyle w:val="Heading2"/>
      </w:pPr>
      <w:r>
        <w:t>EKG-Parameter unterscheiden sich zwischen jungen Frauen und Männern messbar</w:t>
      </w:r>
    </w:p>
    <w:p>
      <w:r>
        <w:rPr>
          <w:i/>
          <w:color w:val="666666"/>
          <w:sz w:val="18"/>
        </w:rPr>
        <w:t>Ngoc TN et al.  ·  Ann Noninvasive Electrocardiol  ·  Nov. 2026  ·  PMID 42908956</w:t>
      </w:r>
    </w:p>
    <w:p>
      <w:r>
        <w:t>Querschnittstudie mit standardisierten 12-Kanal-EKGs bei 6.099 gesunden vietnamesischen Studierenden (56,4 % weiblich, Alter 17,85±0,65 Jahre) analysierte Geschlechtsdifferenzen in EKG-Parametern und Varianten.</w:t>
      </w:r>
    </w:p>
    <w:p>
      <w:r>
        <w:rPr>
          <w:b/>
        </w:rPr>
        <w:t xml:space="preserve">Ergebnis: </w:t>
      </w:r>
      <w:r>
        <w:t>Frauen zeigten höhere Herzfrequenzen (84,64 vs. 81,55 bpm) und längere QTc-Intervalle (423,54 vs. 406,46 ms), Männer längere PR-Intervalle (141,99 vs. 138,99 ms) und breitere QRS-Komplexe (91,44 vs. 80,81 ms), alle p&lt;0,001. Männer häufiger: Sinusarrhythmie (22,7 % vs. 19,2 %), Frührepolarisationsmuster (6,1 % vs. 0,1 %), Rechtsschenkelblock (4,4 % vs. 0,3 %) und Sinusbradykardie (4,5 % vs. 1,3 %). Männliches Geschlecht unabhängig assoziiert mit Frührepolarisation (aOR 37,7, 95%-KI 17,2–107) und Rechtsschenkelblock (aOR 13,1, 95%-KI 7,55–25,2).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Asiatische Population; biologische Basis der EKG-Unterschiede, nicht Zugang oder Deutung.</w:t>
      </w:r>
    </w:p>
    <w:p>
      <w:r>
        <w:rPr>
          <w:color w:val="5A7D3A"/>
          <w:sz w:val="18"/>
        </w:rPr>
        <w:t>https://pubmed.ncbi.nlm.nih.gov/42908956/</w:t>
      </w:r>
    </w:p>
    <w:p>
      <w:pPr>
        <w:pStyle w:val="Heading2"/>
      </w:pPr>
      <w:r>
        <w:t>Menopause als Risikoschwelle: Kardiovaskuläre Risikofaktoren wirken bei Frauen stärker</w:t>
      </w:r>
    </w:p>
    <w:p>
      <w:r>
        <w:rPr>
          <w:i/>
          <w:color w:val="666666"/>
          <w:sz w:val="18"/>
        </w:rPr>
        <w:t>Obaed N et al.  ·  Endocrinol Metab Clin North Am  ·  11.09.2026  ·  PMID 42907050</w:t>
      </w:r>
    </w:p>
    <w:p>
      <w:r>
        <w:t>Narrative Übersicht zur kardiovaskulären Gesundheit von Frauen mit Fokus auf Menopause als kritischen Punkt für atheroskleroße kardiovaskuläre Erkrankung (ASCVD); Darstellung biologischer Mechanismen und klinischer Implikationen.</w:t>
      </w:r>
    </w:p>
    <w:p>
      <w:r>
        <w:rPr>
          <w:b/>
        </w:rPr>
        <w:t xml:space="preserve">Ergebnis: </w:t>
      </w:r>
      <w:r>
        <w:t>Menopause markiert kritischen kardio-metabolischen Wendepunkt mit beschleunigten ungünstigen Veränderungen in Lipidprofilen, Körperkomposition, vaskulärer Funktion und metabolischen Parametern unabhängig vom Alterungsprozess allein. Traditionelle ASCVD-Risikofaktoren (Diabetes, Hypertonie, Rauchen, Adipositas) üben überproportional größere kardiovaskuläre Effekte bei Frauen aus als bei Männern. Lebenszyklusansatz, der Menopause als kritischen Inflektionspunkt für ASCVD-Prävention anerkennt, als essentiell befunden.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USA-Review ohne Routinedaten; biologischer Mechanismus (Hormonwechsel), aber Frage nach Versorgungskonsequenzen (Screening-Alter, Therapieschwellen) nicht beantwortet.</w:t>
      </w:r>
    </w:p>
    <w:p>
      <w:r>
        <w:rPr>
          <w:color w:val="5A7D3A"/>
          <w:sz w:val="18"/>
        </w:rPr>
        <w:t>https://pubmed.ncbi.nlm.nih.gov/42907050/</w:t>
      </w:r>
    </w:p>
    <w:p>
      <w:pPr>
        <w:pStyle w:val="Heading2"/>
      </w:pPr>
      <w:r>
        <w:t>Schlafqualität verschlechtert sich bei Diskriminierungserfahrungen messbar – Sexismus und Cissexismus relevant</w:t>
      </w:r>
    </w:p>
    <w:p>
      <w:r>
        <w:rPr>
          <w:i/>
          <w:color w:val="666666"/>
          <w:sz w:val="18"/>
        </w:rPr>
        <w:t>Chen JT et al.  ·  Behav Med  ·  21.10.2026  ·  PMID 42904426</w:t>
      </w:r>
    </w:p>
    <w:p>
      <w:r>
        <w:t>Querschnittsstudie mit 699 Teilnehmenden (25–64 Jahre) aus drei Community Health Centers in Boston, 2020–2022, untersuchte implizite und explizite Diskriminierungserfahrungen (Rassismus, Sexismus, Heterosexismus, Cissexismus, Ageismus, Sizeismus) und Schlafprobleme.</w:t>
      </w:r>
    </w:p>
    <w:p>
      <w:r>
        <w:rPr>
          <w:b/>
        </w:rPr>
        <w:t xml:space="preserve">Ergebnis: </w:t>
      </w:r>
      <w:r>
        <w:t>Personengruppen mit Diskriminierungserfahrung berichteten durchschnittlich kürzere Schlafdauer und stärkere Schlafstörungen als Vergleichsgruppen; nur kürzere Schlafdauer bei Angehörigen of Color blieb in adjustierten Modellen signifikant (p&lt;0,05). Nach Adjustierung zeigten sich unabhängige Effekte für Sexismus bei Frauen bezüglich Schlafbeeinträchtigung. Implizite und explizite Diskriminierungsmessungen zeigten stark attenuierte Assoziationen nach Adjustierung.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USA-Studie; Mechanismus (Diskriminierungserfahrung → physiologischer Stress → Schlaf) biologisch universal, aber US-Kontext (Rassismus, Heteronormativität) nicht direkt auf Deutschland übertragbar.</w:t>
      </w:r>
    </w:p>
    <w:p>
      <w:r>
        <w:rPr>
          <w:color w:val="5A7D3A"/>
          <w:sz w:val="18"/>
        </w:rPr>
        <w:t>https://pubmed.ncbi.nlm.nih.gov/42904426/</w:t>
      </w:r>
    </w:p>
    <w:p>
      <w:pPr>
        <w:pStyle w:val="Heading2"/>
      </w:pPr>
      <w:r>
        <w:t>Webbasierte Stimmtraining reduziert Voice Dysphoria bei transfeminin Personen messbar</w:t>
      </w:r>
    </w:p>
    <w:p>
      <w:r>
        <w:rPr>
          <w:i/>
          <w:color w:val="666666"/>
          <w:sz w:val="18"/>
        </w:rPr>
        <w:t>McKenna VS et al.  ·  Behav Med  ·  21.10.2026  ·  PMID 42904414</w:t>
      </w:r>
    </w:p>
    <w:p>
      <w:r>
        <w:t>Pilotklinische Studie einer Website (TruVox) mit visuell-akustischem Biofeedback und strukturierten Übungen für Stimmmodulation bei 6 transfeminin Personen; vier Sitzungen mit Logopädin via Zoom + unbeaufsichtigtes Training zu Hause.</w:t>
      </w:r>
    </w:p>
    <w:p>
      <w:r>
        <w:rPr>
          <w:b/>
        </w:rPr>
        <w:t xml:space="preserve">Ergebnis: </w:t>
      </w:r>
      <w:r>
        <w:t>Positive Erfahrungen und Verbesserungen auf mehreren Skalen: Gender Voice Index, Utah Gender Presentation Scale, Stimmzufriedenheit stiegen. Vokale Tonhöhe und Resonanz nahmen zu, Motivation hoch, TruVox-Usability akzeptabel. Tonhöhen-/Resonanzverbesserungen niedriger als in anderen Studien mit 8–15 Sitzungen, wahrscheinlich wegen kürzerer Dauer (nur 4 Sitzungen). Keine Kontrollgruppe; Studie vorzeitig beendet.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USA-Pilotstudie; Stimmtraining adressiert soziale Interpretation (nicht Biologie), prinzipiell in jedem Gesundheitssystem skalierbar.</w:t>
      </w:r>
    </w:p>
    <w:p>
      <w:r>
        <w:rPr>
          <w:color w:val="5A7D3A"/>
          <w:sz w:val="18"/>
        </w:rPr>
        <w:t>https://pubmed.ncbi.nlm.nih.gov/42904414/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Geschlechtersensible Medizin</dc:title>
  <dc:subject/>
  <dc:creator>Monitor Versorgungsforschung</dc:creator>
  <cp:keywords/>
  <dc:description>generated by python-docx</dc:description>
  <cp:lastModifiedBy/>
  <cp:revision>1</cp:revision>
  <dcterms:created xsi:type="dcterms:W3CDTF">2026-10-25T06:00:00Z</dcterms:created>
  <dcterms:modified xsi:type="dcterms:W3CDTF">2026-10-25T06:00:00Z</dcterms:modified>
  <cp:category/>
</cp:coreProperties>
</file>