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03.10.2026  |  6 Studien  |  gender.m-vf.de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Herzkrebssterblichkeit bei Männern 14 % höher – Unterschiede je nach Lebererkrankung</w:t>
      </w:r>
    </w:p>
    <w:p>
      <w:r>
        <w:rPr>
          <w:i/>
          <w:color w:val="666666"/>
          <w:sz w:val="18"/>
        </w:rPr>
        <w:t>Yan T et al.  ·  JAMA Netw Open  ·  01.10.2026  ·  PMID 42826017</w:t>
      </w:r>
    </w:p>
    <w:p>
      <w:r>
        <w:t>Retrospektive Kohortenstudie an 8.594 Hepatokarzinom-Patienten aus 17 Zentren (2000–2023), die Geschlechtsunterschiede in der Gesamtsterblichkeit, leberbedingt und nicht-leberbedingt untersucht.</w:t>
      </w:r>
    </w:p>
    <w:p>
      <w:r>
        <w:rPr>
          <w:b/>
        </w:rPr>
        <w:t xml:space="preserve">Ergebnis: </w:t>
      </w:r>
      <w:r>
        <w:t>Männer zeigten eine höhere Gesamtsterblichkeit (aHR 1,14; 95%-KI 1,05–1,23; p=0,002). Effekte variierten nach Ätiologie: Alkoholbedingte Lebererkrankung (aHR 1,90), Hepatitis B (aHR 1,22), Hepatitis C (aHR 1,13), aber kein Unterschied bei metabolischer Fettlebererkrankung. Keine signifikanten Geschlechtsunterschiede bei nicht-leberbedingte 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Kohortendaten mit vergleichbarer Dokumentation; biologische Mechanismen ungeklärt.</w:t>
      </w:r>
    </w:p>
    <w:p>
      <w:r>
        <w:rPr>
          <w:color w:val="5A7D3A"/>
          <w:sz w:val="18"/>
        </w:rPr>
        <w:t>https://pubmed.ncbi.nlm.nih.gov/42826017/</w:t>
      </w:r>
    </w:p>
    <w:p>
      <w:pPr>
        <w:pStyle w:val="Heading2"/>
      </w:pPr>
      <w:r>
        <w:t>Depressionsrisiko: Unterschiedliche Schutzfaktoren je nach Alter und Geschlecht</w:t>
      </w:r>
    </w:p>
    <w:p>
      <w:r>
        <w:rPr>
          <w:i/>
          <w:color w:val="666666"/>
          <w:sz w:val="18"/>
        </w:rPr>
        <w:t>Chen L et al.  ·  Epidemiol Psychiatr Sci  ·  01.10.2026  ·  PMID 42817766</w:t>
      </w:r>
    </w:p>
    <w:p>
      <w:r>
        <w:t>Prospektive Kohortenstudie an 428.078 Erwachsenen, die alters- und geschlechtsspezifische modifizierbare Risikofaktoren für Depressionen priorisiert.</w:t>
      </w:r>
    </w:p>
    <w:p>
      <w:r>
        <w:rPr>
          <w:b/>
        </w:rPr>
        <w:t xml:space="preserve">Ergebnis: </w:t>
      </w:r>
      <w:r>
        <w:t>Von 15.106 (3,53 %) entwickelten Depression. Bevölkerungsattribuierbare Fraktionen (PAF) sanken mit Alter (Mittelalter 83,47 %, Rentner 76,77 %). Gesundheitsfaktoren zeigten höchste PAF (33,46–38,12 %), angeführt von schwacher Griffstärke (12,60–18,09 %) und BMI. Bei Männern rangierte Arbeitslosigkeit (PAF 24,55 %) an erster Stelle. Schlafqualität und Rauchen waren bei Frauen und jüngeren Gruppen führend. Kombinierte Risikomuster mit geringer sozialer Unterstützung erhöhten Risiko bis zu 4,37-fach.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alters-geschlechtsspezifische Risikoprofile sind universal übertragbar.</w:t>
      </w:r>
    </w:p>
    <w:p>
      <w:r>
        <w:rPr>
          <w:color w:val="5A7D3A"/>
          <w:sz w:val="18"/>
        </w:rPr>
        <w:t>https://pubmed.ncbi.nlm.nih.gov/42817766/</w:t>
      </w:r>
    </w:p>
    <w:p>
      <w:pPr>
        <w:pStyle w:val="Heading2"/>
      </w:pPr>
      <w:r>
        <w:t>Mütter- und Kindergesundheit im Tertiärbereich: Lücken in Schwangerenbetreuung und Geburtsverlauf</w:t>
      </w:r>
    </w:p>
    <w:p>
      <w:r>
        <w:rPr>
          <w:i/>
          <w:color w:val="666666"/>
          <w:sz w:val="18"/>
        </w:rPr>
        <w:t>Khan MK et al.  ·  Mymensingh Med J  ·  Okt. 2026  ·  PMID 42811831</w:t>
      </w:r>
    </w:p>
    <w:p>
      <w:r>
        <w:t>Querschnittstudie an 460 schwangeren Frauen in einer Tertiärklinik Bangladesch (Sept.–Okt. 2025) zur Mütter- und Kindergesundheit, Geburtsvertauf und Kindersterblichkeit.</w:t>
      </w:r>
    </w:p>
    <w:p>
      <w:r>
        <w:rPr>
          <w:b/>
        </w:rPr>
        <w:t xml:space="preserve">Ergebnis: </w:t>
      </w:r>
      <w:r>
        <w:t>Mittleres Alter 26,56±4,7 Jahre. 97,2 % fütterten Kolostrum, 90,2 % impften Babys vollständig. 5,2 % der Familien verloren Kinder &lt;5 Jahre (Pneumonie, Durchfall, unbekannte Ursachen). Mittlere Zahl Schwangerenvisiten 3,48±2,08; 4,6 % keine Visite. 73,3 % entbanden in Kliniken, aber 57,2 % benötigten Sectio caesarea. 73,7 % wurden von Ärzten entbunden. Lücken: Unvollständige Schwangerenbetreuung, hohe Sectio-Rate, Kindersterblichkeit.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 mit begrenztem Übertragungspotential auf Deutschland; zeigt aber geschlechtergetrenntes Ergebnis-Tracking in Niedrig-Einkommensländer.</w:t>
      </w:r>
    </w:p>
    <w:p>
      <w:r>
        <w:rPr>
          <w:color w:val="5A7D3A"/>
          <w:sz w:val="18"/>
        </w:rPr>
        <w:t>https://pubmed.ncbi.nlm.nih.gov/42811831/</w:t>
      </w:r>
    </w:p>
    <w:p>
      <w:pPr>
        <w:pStyle w:val="Heading2"/>
      </w:pPr>
      <w:r>
        <w:t>Diabetes und Suizidrisiko bei schwarzen Männern: Systematische Lücke in Evidenz und Screening</w:t>
      </w:r>
    </w:p>
    <w:p>
      <w:r>
        <w:rPr>
          <w:i/>
          <w:color w:val="666666"/>
          <w:sz w:val="18"/>
        </w:rPr>
        <w:t>Boyd DT et al.  ·  Curr Diab Rep  ·  28.09.2026  ·  PMID 42803858</w:t>
      </w:r>
    </w:p>
    <w:p>
      <w:r>
        <w:t>Narrative Übersichtsarbeit zur Schnittstelle Diabetes, Suizidalität und Rasse/Ethnizität mit Fokus auf schwarze Männer und schwarze sexuelle Minderheiten.</w:t>
      </w:r>
    </w:p>
    <w:p>
      <w:r>
        <w:rPr>
          <w:b/>
        </w:rPr>
        <w:t xml:space="preserve">Ergebnis: </w:t>
      </w:r>
      <w:r>
        <w:t>Zentraler Befund: Evidenzlücke, nicht Beweis multiplikativer Risikoseffekte. Literatur belegt Depression, Diabetes-Distress und Insulinzugang als klinisch relevante Pfade. Kein Study identifiziert Suizidalität spezifisch bei schwarzen Männern mit Diabetes oder schwarzen sexuellen Minderheiten mit Diabetes. Screening-Instrumente (PHQ-9, Diabetes Distress Scale) sind nicht populationsspezifisch validiert. Empfehlung: Kulturell responsive Psychosozial-Exploration, direkte Suizidalitätserfassung, kolaboratives Sicherheitsplanning und integrierte Verhaltensstützung.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Evidenzlücke und Screening-Validierungsbedarf sind universell relevant.</w:t>
      </w:r>
    </w:p>
    <w:p>
      <w:r>
        <w:rPr>
          <w:color w:val="5A7D3A"/>
          <w:sz w:val="18"/>
        </w:rPr>
        <w:t>https://pubmed.ncbi.nlm.nih.gov/42803858/</w:t>
      </w:r>
    </w:p>
    <w:p>
      <w:pPr>
        <w:pStyle w:val="Heading2"/>
      </w:pPr>
      <w:r>
        <w:t>Kaumuskulatur und Körperfett: Geschlechtsabhängige biologische Assoziationen</w:t>
      </w:r>
    </w:p>
    <w:p>
      <w:r>
        <w:rPr>
          <w:i/>
          <w:color w:val="666666"/>
          <w:sz w:val="18"/>
        </w:rPr>
        <w:t>Meisel P et al.  ·  J Oral Biosci  ·  16.09.2026  ·  PMID 42748522</w:t>
      </w:r>
    </w:p>
    <w:p>
      <w:r>
        <w:t>Querschnittstudie an 665 Erwachsenen (30–93 Jahre, SHIP-Kohorte Deutschland), die Geschlechtsunterschiede in der Assoziation von Kaumuskulatur, Zahnbestand, Parodontitis und Adipositas mit MRT untersucht.</w:t>
      </w:r>
    </w:p>
    <w:p>
      <w:r>
        <w:rPr>
          <w:b/>
        </w:rPr>
        <w:t xml:space="preserve">Ergebnis: </w:t>
      </w:r>
      <w:r>
        <w:t>Massetermuskelfläche war mit BMI und Taillenumfang bei beiden Geschlechtern assoziiert (beide p&lt;0,001). Bei Männern war medialer Pterygoidmuskel primär mit Adipositas assoziiert (p&lt;0,001). Klinischer Attachmentverlust war negativ mit Adipositas nur bei Frauen assoziiert. Über 10 Jahre stiegen BMI und Taillenumfang mit Masseter- und medialem Pterygoidmuskel bei Männern (p&lt;0,001), nicht bei Frauen (p&gt;0,30).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Populationsdaten (SHIP), vergleichbare Messmethoden und Körperzusammensetzung.</w:t>
      </w:r>
    </w:p>
    <w:p>
      <w:r>
        <w:rPr>
          <w:color w:val="5A7D3A"/>
          <w:sz w:val="18"/>
        </w:rPr>
        <w:t>https://pubmed.ncbi.nlm.nih.gov/42748522/</w:t>
      </w:r>
    </w:p>
    <w:p>
      <w:pPr>
        <w:pStyle w:val="Heading2"/>
      </w:pPr>
      <w:r>
        <w:t>Kommunale Gesundheitsungleichheit: Welche Zusammenarbeit wirkt – qualitative Synthese</w:t>
      </w:r>
    </w:p>
    <w:p>
      <w:r>
        <w:rPr>
          <w:i/>
          <w:color w:val="666666"/>
          <w:sz w:val="18"/>
        </w:rPr>
        <w:t>Thomson LJM et al.  ·  Front Public Health  ·  29.05.2026  ·  PMID 42293618</w:t>
      </w:r>
    </w:p>
    <w:p>
      <w:r>
        <w:t>Thematische Synthese von Fokusgruppendaten und Fragebogenergebnissen aus dreiphasigem UK-Programm ‚Mobilizing Community Assets to Tackle Health Inequalities'.</w:t>
      </w:r>
    </w:p>
    <w:p>
      <w:r>
        <w:rPr>
          <w:b/>
        </w:rPr>
        <w:t xml:space="preserve">Ergebnis: </w:t>
      </w:r>
      <w:r>
        <w:t>Sechs übergeordnete Themen identifiziert: Beziehungsaufbau, multidisziplinäre Zusammenarbeit und Schulung/Kapazitätsaufbau waren zentral für sektorübergreifende Erfolge. Integrierte Versorgungsansätze, innovative kreative Gesundheitslösungen und Strategien zur Verstetigung (Scaling-up) waren zusätzliche Erfolgsfaktoren. Weniger konsistent, aber kontextabhängig wirksam: Bewusstseinsschärfung zu Armut, Adressierung sozialer Determinanten, Verhaltensprävention und Befähigung zu eigenverantwortlichen Gesundheitsentscheidungen.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aber Kooperationsmodelle sind auf deutsches kommunales Versorgungssystem übertragbar.</w:t>
      </w:r>
    </w:p>
    <w:p>
      <w:r>
        <w:rPr>
          <w:color w:val="5A7D3A"/>
          <w:sz w:val="18"/>
        </w:rPr>
        <w:t>https://pubmed.ncbi.nlm.nih.gov/42293618/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