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Geschlechtersensible Medizin</w:t>
      </w:r>
    </w:p>
    <w:p>
      <w:r>
        <w:rPr>
          <w:i/>
          <w:color w:val="666666"/>
          <w:sz w:val="18"/>
        </w:rPr>
        <w:t>Stand: 28.10.2026  |  6 Studien  |  gender.m-vf.de</w:t>
      </w:r>
    </w:p>
    <w:p>
      <w:pPr>
        <w:pStyle w:val="Heading1"/>
      </w:pPr>
      <w:r>
        <w:t>Aufgenommen am 28.10.2026</w:t>
      </w:r>
    </w:p>
    <w:p>
      <w:pPr>
        <w:pStyle w:val="Heading2"/>
      </w:pPr>
      <w:r>
        <w:t>Zytokin-Profile bei Bauchspeicheldrüsenkrebs: Geschlechtsspezifische Unterschiede in Diagnostik</w:t>
      </w:r>
    </w:p>
    <w:p>
      <w:r>
        <w:rPr>
          <w:i/>
          <w:color w:val="666666"/>
          <w:sz w:val="18"/>
        </w:rPr>
        <w:t>García-Gómez J et al.  ·  Biomolecules  ·  14.10.2026  ·  PMID 42939746</w:t>
      </w:r>
    </w:p>
    <w:p>
      <w:r>
        <w:t>Mexikanische Pilotstudie (n=22 PDAC-Patienten, n=16 Kontrollen) zu Serum-Zytokinen als Biomarker mit Fokus auf Geschlechtsunterschiede und deren biologische Basis.</w:t>
      </w:r>
    </w:p>
    <w:p>
      <w:r>
        <w:rPr>
          <w:b/>
        </w:rPr>
        <w:t xml:space="preserve">Ergebnis: </w:t>
      </w:r>
      <w:r>
        <w:t>In der Gesamtkohorte: IL-7 einziges Zytokin zur Diskriminierung von Patienten vs. Kontrollen nach Multiple-Testing-Korrektur; gleichwertig mit CA19-9. Nach Schichtung nach Geschlecht: IL-7 erhöht bei Frauen (nicht signifikant in weiblicher Subgruppe); bei Männern acht angeborene/Th17/Interferon-Zytokine (IL-1α, IL-1RA, IL-31, IFN-α, IL-17A, IL-17F, TNF-α, TNF-β) diskriminierend – kleine männliche Kontrollgruppe. Korrelationsnetzwerk bei Patienten stark reduziert.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Mexiko (gering), aber biologischer Befund (Zytokin-Muster) potenziell übertragbar; klinische Validierung fehlt.</w:t>
      </w:r>
    </w:p>
    <w:p>
      <w:r>
        <w:rPr>
          <w:color w:val="5A7D3A"/>
          <w:sz w:val="18"/>
        </w:rPr>
        <w:t>https://pubmed.ncbi.nlm.nih.gov/42939746/</w:t>
      </w:r>
    </w:p>
    <w:p>
      <w:pPr>
        <w:pStyle w:val="Heading2"/>
      </w:pPr>
      <w:r>
        <w:t>Geschlechtsspezifische Steroid-Stoffwechsel bei Asthma-Behandlung im Kindesalter</w:t>
      </w:r>
    </w:p>
    <w:p>
      <w:r>
        <w:rPr>
          <w:i/>
          <w:color w:val="666666"/>
          <w:sz w:val="18"/>
        </w:rPr>
        <w:t>Dairo G et al.  ·  Respir Res  ·  08.09.2026  ·  PMID 42934747</w:t>
      </w:r>
    </w:p>
    <w:p>
      <w:r>
        <w:t>US-amerikanische prospektive Kohorte (CAMP, n=664 mit Metabolom-Daten) zu geschlechtsspezifischen Unterschieden in Steroid-Metaboliten unter inhalierter Kortikosteroid-Therapie und deren Assoziation mit Asthma-Outcomes.</w:t>
      </w:r>
    </w:p>
    <w:p>
      <w:r>
        <w:rPr>
          <w:b/>
        </w:rPr>
        <w:t xml:space="preserve">Ergebnis: </w:t>
      </w:r>
      <w:r>
        <w:t>Bei Jungen: ICS-Exposition assoziiert mit signifikant niedrigerem Kortisol und Kortison im 4. Jahr (biologische Wirkung). Bei Mädchen: stabilere Trajektorien, nicht-signifikante Reduktion. ICS modifizierte Assoziationen zwischen endogenen Steroiden und klinischen Outcomes (FEV₁, Eosinophile) geschlechtsspezifisch – Effekte bei Mädchen stärker attenuiert.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USA, aber Stoffwechsel-Befund unabhängig von Versorgungssystem; deutsche Asthma-Leitlinien keine geschlechtsspezifische Dosierung.</w:t>
      </w:r>
    </w:p>
    <w:p>
      <w:r>
        <w:rPr>
          <w:color w:val="5A7D3A"/>
          <w:sz w:val="18"/>
        </w:rPr>
        <w:t>https://pubmed.ncbi.nlm.nih.gov/42934747/</w:t>
      </w:r>
    </w:p>
    <w:p>
      <w:pPr>
        <w:pStyle w:val="Heading2"/>
      </w:pPr>
      <w:r>
        <w:t>Vermögen und Sterblichkeit in Norwegen: Geschlecht als Faktor bei Ungleichheit</w:t>
      </w:r>
    </w:p>
    <w:p>
      <w:r>
        <w:rPr>
          <w:i/>
          <w:color w:val="666666"/>
          <w:sz w:val="18"/>
        </w:rPr>
        <w:t>Nosrati E et al.  ·  Soc Sci Med  ·  21.09.2026  ·  PMID 42804863</w:t>
      </w:r>
    </w:p>
    <w:p>
      <w:r>
        <w:t>Norwegische Verwaltungsdaten (2006–2024, Gesamtbevölkerung im Erwerbsalter) zu Mortalitätsgradient nach Arbeitseinkommen, Kapitalerträgen und Vermögen; Geschlecht nicht primär fokussiert, aber als Kontrolle einbezogen.</w:t>
      </w:r>
    </w:p>
    <w:p>
      <w:r>
        <w:rPr>
          <w:b/>
        </w:rPr>
        <w:t xml:space="preserve">Ergebnis: </w:t>
      </w:r>
      <w:r>
        <w:t>Vermögen assoziiert mit Mortalität über Arbeitseinkommen hinaus (HR für Vermögenseffekt steiler als für Arbeitseinkommen). Soziodemografische Kontrollen einschließlich Geschlecht einbezogen, aber kein Bericht geschlechtsspezifischer Interaktionen oder differentieller Effekte.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Norwegen, hohes Registerdatenniveau; zeigt methodisch, wie Geschlecht als Kontrollvariable mitgeführt wird – limitierter Transfer für die Versorgungsfrage.</w:t>
      </w:r>
    </w:p>
    <w:p>
      <w:r>
        <w:rPr>
          <w:color w:val="5A7D3A"/>
          <w:sz w:val="18"/>
        </w:rPr>
        <w:t>https://pubmed.ncbi.nlm.nih.gov/42804863/</w:t>
      </w:r>
    </w:p>
    <w:p>
      <w:pPr>
        <w:pStyle w:val="Heading2"/>
      </w:pPr>
      <w:r>
        <w:t>Persönlichkeitsmerkmale bei Fußballer:innen: Geschlechts- und Leistungsunterschiede</w:t>
      </w:r>
    </w:p>
    <w:p>
      <w:r>
        <w:rPr>
          <w:i/>
          <w:color w:val="666666"/>
          <w:sz w:val="18"/>
        </w:rPr>
        <w:t>Spielmann J et al.  ·  J Sports Sci  ·  22.09.2026  ·  PMID 42768968</w:t>
      </w:r>
    </w:p>
    <w:p>
      <w:r>
        <w:t>Deutsche Querschnittstudie mit Fußballer:innen (n=2.085 m/w) zum Vergleich von Big Five-Persönlichkeitszügen zwischen Geschlechtern und Leistungsniveaus.</w:t>
      </w:r>
    </w:p>
    <w:p>
      <w:r>
        <w:rPr>
          <w:b/>
        </w:rPr>
        <w:t xml:space="preserve">Ergebnis: </w:t>
      </w:r>
      <w:r>
        <w:t>Fußballer:innen vs. Vergleichsgruppen: niedrigere Neurotizismus- und Offenheitswerte, höhere Gewissenhaftigkeit und Extraversion. Innerhalb Fußballer:innen: Höhere Expertise mit niedrigerem Neurotizismus und höherer Gewissenhaftigkeit assoziiert. Frauen zeigten höhere Neurotizismus- und Verträglichkeitswerte als Männer; erwachsene Männer höhere Verträglichkeit als jugendliche Männer.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Deutsche Studie, aber nicht versorgungsrelevant (keine Diagnostik, Therapie oder Outcome).</w:t>
      </w:r>
    </w:p>
    <w:p>
      <w:r>
        <w:rPr>
          <w:color w:val="5A7D3A"/>
          <w:sz w:val="18"/>
        </w:rPr>
        <w:t>https://pubmed.ncbi.nlm.nih.gov/42768968/</w:t>
      </w:r>
    </w:p>
    <w:p>
      <w:pPr>
        <w:pStyle w:val="Heading2"/>
      </w:pPr>
      <w:r>
        <w:t>Post-Schlaganfall-Epilepsie: Geschlechtsspezifische Unterschiede in Mortalität</w:t>
      </w:r>
    </w:p>
    <w:p>
      <w:r>
        <w:rPr>
          <w:i/>
          <w:color w:val="666666"/>
          <w:sz w:val="18"/>
        </w:rPr>
        <w:t>Delazer L et al.  ·  Epilepsy Behav  ·  04.09.2026  ·  PMID 42697044</w:t>
      </w:r>
    </w:p>
    <w:p>
      <w:r>
        <w:t>Österreichische Register-Studie zu Alter und Geschlecht bei Post-Schlaganfall-Epilepsie (n=84), mit Fokus auf Anfallspräsentation, Schlaganfall-Charakteristika und Mortalität.</w:t>
      </w:r>
    </w:p>
    <w:p>
      <w:r>
        <w:rPr>
          <w:b/>
        </w:rPr>
        <w:t xml:space="preserve">Ergebnis: </w:t>
      </w:r>
      <w:r>
        <w:t>Mortalität insgesamt 33% (22% Männer vs. 47% Frauen; p=0,02). Nach Adjustment für Alter, Schlaganfall-Schweregrad und prämorbide Funktion unterschied sich die Mortalität nicht mehr signifikant zwischen Geschlechtern – d.h., der höhere Rohwert bei Frauen war durch stärkere Schlaganfälle erklärt (biologischer/Zugangs-Unterschied). Kardioembolie war führende Ätiologie bei Frauen (47%).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Österreichische Klinikdaten, direkt auf DACH übertragbar.</w:t>
      </w:r>
    </w:p>
    <w:p>
      <w:r>
        <w:rPr>
          <w:color w:val="5A7D3A"/>
          <w:sz w:val="18"/>
        </w:rPr>
        <w:t>https://pubmed.ncbi.nlm.nih.gov/42697044/</w:t>
      </w:r>
    </w:p>
    <w:p>
      <w:pPr>
        <w:pStyle w:val="Heading2"/>
      </w:pPr>
      <w:r>
        <w:t>COVID-19 in der Schwangerschaft: Befunde aus Skandinavischen Registern</w:t>
      </w:r>
    </w:p>
    <w:p>
      <w:r>
        <w:rPr>
          <w:i/>
          <w:color w:val="666666"/>
          <w:sz w:val="18"/>
        </w:rPr>
        <w:t>Magnus MC et al.  ·  Acta Obstet Gynecol Scand  ·  07.08.2026  ·  PMID 42565312</w:t>
      </w:r>
    </w:p>
    <w:p>
      <w:r>
        <w:t>Register-Analyse (Norwegen, Dänemark, Schweden) zu Schwangerschaftsrisiken bei COVID-19 und Impfung, basierend auf routinemäßig erhobenen Daten mit Geschlechtsauswertung.</w:t>
      </w:r>
    </w:p>
    <w:p>
      <w:r>
        <w:rPr>
          <w:b/>
        </w:rPr>
        <w:t xml:space="preserve">Ergebnis: </w:t>
      </w:r>
      <w:r>
        <w:t>Schwangere mit COVID-19: höheres Hospitalisierungsrisiko vs. nicht-schwangere Frauen, erhöhtes VTE-Risiko (venöse Thromboembolie) und Stillbirth-Risiko. Impfung in der Schwangerschaft: keine erhöhten Risiken für Abort, Stillbirth, Malformationen oder adverse neonatale Outcomes. Biologische Basis der erhöhten Hospitalisierungsrate nicht spezifiziert.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Nordische Register mit hoher Datenqualität, Versicherungssystem vergleichbar mit Deutschland.</w:t>
      </w:r>
    </w:p>
    <w:p>
      <w:r>
        <w:rPr>
          <w:color w:val="5A7D3A"/>
          <w:sz w:val="18"/>
        </w:rPr>
        <w:t>https://pubmed.ncbi.nlm.nih.gov/42565312/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Geschlechtersensible Medizin</dc:title>
  <dc:subject/>
  <dc:creator>Monitor Versorgungsforschung</dc:creator>
  <cp:keywords/>
  <dc:description>generated by python-docx</dc:description>
  <cp:lastModifiedBy/>
  <cp:revision>1</cp:revision>
  <dcterms:created xsi:type="dcterms:W3CDTF">2026-10-28T06:00:00Z</dcterms:created>
  <dcterms:modified xsi:type="dcterms:W3CDTF">2026-10-28T06:00:00Z</dcterms:modified>
  <cp:category/>
</cp:coreProperties>
</file>