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01.10.2026  |  6 Studien  |  gender.m-vf.de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Geburtsbeistand und psychische Gesundheit der Mutter: systematische Übersicht zu Ländern mit niedrigem/mittlerem Einkommen</w:t>
      </w:r>
    </w:p>
    <w:p>
      <w:r>
        <w:rPr>
          <w:i/>
          <w:color w:val="666666"/>
          <w:sz w:val="18"/>
        </w:rPr>
        <w:t>Hameed W et al.  ·  BMJ Open  ·  30.09.2026  ·  PMID 42816075</w:t>
      </w:r>
    </w:p>
    <w:p>
      <w:r>
        <w:t>Systematische Übersicht von 10 Studien (6 Beobachtungs-, 4 experimentell) zu Effekten von persönlichen Geburtsbegleitern auf Angst und Depression unter der Geburt und postpartal.</w:t>
      </w:r>
    </w:p>
    <w:p>
      <w:r>
        <w:rPr>
          <w:b/>
        </w:rPr>
        <w:t xml:space="preserve">Ergebnis: </w:t>
      </w:r>
      <w:r>
        <w:t>Experimentelle Studien (primär an Erstgebärenden, unkomplizierte Schwangerschaften): Relative Änderung der Angst zwischen Intervention und Kontrolle –0,85% bis +120%, die meisten p&lt;0,001 zugunsten Intervention; für depressive Symptome 4,5% und 22,8%, statistisch nicht signifikant. Beobachtungsstudien (außer zwei) zeigten keine statistisch signifikante Beziehung, Richtung aber positiv assoziiert. Eine Studie fand: Begleitungsmerkmale (Art, Intensität) erhöhten Angst-/Depressions-Chancen (OR 2,86; 95%-CI 1,52–5,39). Zeigt: Effekt abhängig von Parität, Komplikationsstatus, Begleitungsqualität – nicht einfacher biologischer Schutz.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 mit niedrigem/mittlerem Einkommen – Zugangsmuster unterscheiden sich von Deutschland; übertragbar nur Evidenzstruktur</w:t>
      </w:r>
    </w:p>
    <w:p>
      <w:r>
        <w:rPr>
          <w:color w:val="5A7D3A"/>
          <w:sz w:val="18"/>
        </w:rPr>
        <w:t>https://pubmed.ncbi.nlm.nih.gov/42816075/</w:t>
      </w:r>
    </w:p>
    <w:p>
      <w:pPr>
        <w:pStyle w:val="Heading2"/>
      </w:pPr>
      <w:r>
        <w:t>Genitale Atrophie bei testosterontherapierten Transmaskulinen: Symptome, Behandlungshindernisse</w:t>
      </w:r>
    </w:p>
    <w:p>
      <w:r>
        <w:rPr>
          <w:i/>
          <w:color w:val="666666"/>
          <w:sz w:val="18"/>
        </w:rPr>
        <w:t>Tordoff DM et al.  ·  J Sex Med  ·  14.09.2026  ·  PMID 42814583</w:t>
      </w:r>
    </w:p>
    <w:p>
      <w:r>
        <w:t>Qualitative Studie mit 28 testosterontherapierten transmaskulinen Erwachsenen zu Symptomerleben genitaler Atrophie, Behandlungspräferenzen und Versorgungsbarrieren.</w:t>
      </w:r>
    </w:p>
    <w:p>
      <w:r>
        <w:rPr>
          <w:b/>
        </w:rPr>
        <w:t xml:space="preserve">Ergebnis: </w:t>
      </w:r>
      <w:r>
        <w:t>93% hatten von genitaler Atrophie gehört, 64% erlebten diese im Leben (46% im letzten Jahr); Symptome von Trockenheit bis zu chronischen Schmerzen beim Gehen/Sitzen. 79% kannten topisches vaginales Östrogen, 43% hatten es verwendet, Symptomlinderung in den meisten Fällen. Creme häufigst verordnet, aber unbeliebt wegen Unordentlichkeit, Dysphorie, sexueller Beeinträchtigung; Zäpfchen/Ring bevorzugt. Hauptbarrieren: Anbieter-Wissenslücken, Symptomverharmlosung, Verweigerung topischen Östrogens, Versicherungsablehnungen, Pharmaka-Stigma. Zeigt: Versorgungsproblem besteht in Ausbildung, Versicherungspolitik und evidenzbasierter Diagnostik, nicht biologischer Unmöglichkeit.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Versorgungsbarrieren teilweise übertragbar; in Deutschland AWMF-Leitlinien zu Geschlechtsangleichung heteronorm, Evidenzlücke größer</w:t>
      </w:r>
    </w:p>
    <w:p>
      <w:r>
        <w:rPr>
          <w:color w:val="5A7D3A"/>
          <w:sz w:val="18"/>
        </w:rPr>
        <w:t>https://pubmed.ncbi.nlm.nih.gov/42814583/</w:t>
      </w:r>
    </w:p>
    <w:p>
      <w:pPr>
        <w:pStyle w:val="Heading2"/>
      </w:pPr>
      <w:r>
        <w:t>Gebärmutterhalskrebs-Sterblichkeit USA: Persistent höher bei Schwarzen Frauen und ländlichen Regionen</w:t>
      </w:r>
    </w:p>
    <w:p>
      <w:r>
        <w:rPr>
          <w:i/>
          <w:color w:val="666666"/>
          <w:sz w:val="18"/>
        </w:rPr>
        <w:t>Liu J et al.  ·  Front Public Health  ·  03.09.2026  ·  PMID 42813077</w:t>
      </w:r>
    </w:p>
    <w:p>
      <w:r>
        <w:t>USA-Analyse der Gebärmutterhalskrebs-Sterblichkeit 1999–2023 nach Rasse, Wohnort, Region zeigt anhaltende Ungleichheit trotz Gesamtrückgang.</w:t>
      </w:r>
    </w:p>
    <w:p>
      <w:r>
        <w:rPr>
          <w:b/>
        </w:rPr>
        <w:t xml:space="preserve">Ergebnis: </w:t>
      </w:r>
      <w:r>
        <w:t>Mortalitätsrate sank von 4,37 auf 2,09 pro 100.000 Frauen (AAPC –3,27%; 95%-CI –3,81 bis –2,73), aber Schwarze Frauen durchgängig höhere Sterblichkeit; ländliche Gebiete erhöhte Raten; Südstaaten konsistent höher, Nordosten mit größtem Rückgang (AAPC –4,23%). Geografische Variation: höchstbelastete Staaten 2–4× höher als niedrigbelastete. Ursachen: Zugangsungleichheit zu Screening, HPV-Impfung, Behandlung. Zeigt Versorgungsbarrieren (geografisch, sozioökonomisch), nicht primär biologische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Gesundheitssystem Hürden überlagern Unterschiede; übertragbar nur Screening-Strategien, nicht Zugangsverhältnisse</w:t>
      </w:r>
    </w:p>
    <w:p>
      <w:r>
        <w:rPr>
          <w:color w:val="5A7D3A"/>
          <w:sz w:val="18"/>
        </w:rPr>
        <w:t>https://pubmed.ncbi.nlm.nih.gov/42813077/</w:t>
      </w:r>
    </w:p>
    <w:p>
      <w:pPr>
        <w:pStyle w:val="Heading2"/>
      </w:pPr>
      <w:r>
        <w:t>Behinderung in Südafrika: Geschlechtslücke persistent, Gesundheitszugang stagniert</w:t>
      </w:r>
    </w:p>
    <w:p>
      <w:r>
        <w:rPr>
          <w:i/>
          <w:color w:val="666666"/>
          <w:sz w:val="18"/>
        </w:rPr>
        <w:t>Sithole T et al.  ·  Front Public Health  ·  15.09.2026  ·  PMID 42812274</w:t>
      </w:r>
    </w:p>
    <w:p>
      <w:r>
        <w:t>Südafrikanische Trendanalyse 2020–2024 aus Haushaltsumfragen zeigt persistente Geschlechtsunterschiede in Behinderungsprävalenz und stagnierendem Zugang.</w:t>
      </w:r>
    </w:p>
    <w:p>
      <w:r>
        <w:rPr>
          <w:b/>
        </w:rPr>
        <w:t xml:space="preserve">Ergebnis: </w:t>
      </w:r>
      <w:r>
        <w:t>Behinderungsprävalenz national 4,5–5,0%, kein signifikanter linearer Trend (p=0,49). Frauen durchgehend signifikant höhere Prävalenz als Männer in jedem Umfragejahr (p≤0,007). Nordkap höchste Prävalenz 2020 und 2024; Eastern Cape größter weiblicher Anstieg. Öffentliche Einrichtungen bleiben erste Anlaufstelle (72–73%). Krankenversicherungsabdeckung zeigte keinen signifikanten linearen Trend (p=0,72), stieg aber 2021 signifikant und fiel bis 2024 (p=0,004). Zeigt: Geschlechtslücke ist robuster statistischer Befund (bleiben unter Design-Effekt-Sensitivitätsanalyse), strukturelle Ungleichheit besteht fort trotz Gesundheitspolitik.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 - vergleichbare Routinedaten, Zugangsstrukturen unterscheiden sich von Deutschland deutlich</w:t>
      </w:r>
    </w:p>
    <w:p>
      <w:r>
        <w:rPr>
          <w:color w:val="5A7D3A"/>
          <w:sz w:val="18"/>
        </w:rPr>
        <w:t>https://pubmed.ncbi.nlm.nih.gov/42812274/</w:t>
      </w:r>
    </w:p>
    <w:p>
      <w:pPr>
        <w:pStyle w:val="Heading2"/>
      </w:pPr>
      <w:r>
        <w:t>Blutdruck bei Kindheitstraumatisierung: Geschlechtsspezifische Muster in 150.983 deutschen Erwachsenen</w:t>
      </w:r>
    </w:p>
    <w:p>
      <w:r>
        <w:rPr>
          <w:i/>
          <w:color w:val="666666"/>
          <w:sz w:val="18"/>
        </w:rPr>
        <w:t>Thielcke TA et al.  ·  BMC Public Health  ·  09.09.2026  ·  PMID 42811308</w:t>
      </w:r>
    </w:p>
    <w:p>
      <w:r>
        <w:t>Deutsche Kohortenstudie untersucht alters- und geschlechtsspezifische Assoziationen zwischen Kindheitsmisshandlung und Blutdruckergebnissen im Erwachsenenalter.</w:t>
      </w:r>
    </w:p>
    <w:p>
      <w:r>
        <w:rPr>
          <w:b/>
        </w:rPr>
        <w:t xml:space="preserve">Ergebnis: </w:t>
      </w:r>
      <w:r>
        <w:t>Frauen mit hoher kumulativer Kindheitstraumatisierung (≥3 Kategorien) zeigten niedrigere Hypertoniequoten (OR=0,87; 95%-CI 0,80–0,94), Männer nicht signifikant (OR=1,01; 95%-CI 0,91–1,13). Altersabhängige inverse Assoziationen zwischen Kindheitstrauma und Blutdruckmarkern offenbarten geschlechtsspezifische Muster; Effekte konsistenter für Missbrauch als Vernachlässigung. Befund widerspricht Erwartung – biologische Vulnerabilität vs. psychosoziale Coping-Unterschiede ungenügend geklärt.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- NAKO Daten, nationale Routineerfassung, direkter Versorgungsbezug</w:t>
      </w:r>
    </w:p>
    <w:p>
      <w:r>
        <w:rPr>
          <w:color w:val="5A7D3A"/>
          <w:sz w:val="18"/>
        </w:rPr>
        <w:t>https://pubmed.ncbi.nlm.nih.gov/42811308/</w:t>
      </w:r>
    </w:p>
    <w:p>
      <w:pPr>
        <w:pStyle w:val="Heading2"/>
      </w:pPr>
      <w:r>
        <w:t>Polydrug-bedingte Todesfälle bei Frauen höher: Unterschiede in Todesursachen zwischen Geschlechtern</w:t>
      </w:r>
    </w:p>
    <w:p>
      <w:r>
        <w:rPr>
          <w:i/>
          <w:color w:val="666666"/>
          <w:sz w:val="18"/>
        </w:rPr>
        <w:t>Langlamet A et al.  ·  Womens Health Issues  ·  13.08.2026  ·  PMID 42595608</w:t>
      </w:r>
    </w:p>
    <w:p>
      <w:r>
        <w:t>Französische Analyse von 6.068 drogenabhängigen Todesfällen zeigt geschlechtsabhängige Unterschiede in den beteiligten Substanzen mit fokussierten Massnahmen für Frauen.</w:t>
      </w:r>
    </w:p>
    <w:p>
      <w:r>
        <w:rPr>
          <w:b/>
        </w:rPr>
        <w:t xml:space="preserve">Ergebnis: </w:t>
      </w:r>
      <w:r>
        <w:t>Frauen starben zu 39,4% durch Polydrogenmissbrauch vs. Männer 28,4% (p&lt;0,001); Frauen überrepräsentiert bei Todesfällen durch Antidepressiva (p&lt;0,001), Benzodiazepine (p&lt;0,001), Codein (p=0,002), Tramadol (p&lt;0,001). Männer überrepräsentiert bei illegalen Drogen (Heroin p&lt;0,001, Cannabis p&lt;0,001, neue psychoaktive Substanzen p&lt;0,001). Zeigt Geschlechtsunterschied im Anstoßmechanismus: Frauen eher polymedikamentös überdosiert, Männer über illegale 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- vergleichbare Sozialversicherung, europäische Routinedaten mit Versorgungsimplikation</w:t>
      </w:r>
    </w:p>
    <w:p>
      <w:r>
        <w:rPr>
          <w:color w:val="5A7D3A"/>
          <w:sz w:val="18"/>
        </w:rPr>
        <w:t>https://pubmed.ncbi.nlm.nih.gov/42595608/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