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Geschlechtersensible Medizin</w:t>
      </w:r>
    </w:p>
    <w:p>
      <w:r>
        <w:rPr>
          <w:i/>
          <w:color w:val="666666"/>
          <w:sz w:val="18"/>
        </w:rPr>
        <w:t>Stand: 12.10.2026  |  6 Studien  |  gender.m-vf.de</w:t>
      </w:r>
    </w:p>
    <w:p>
      <w:pPr>
        <w:pStyle w:val="Heading1"/>
      </w:pPr>
      <w:r>
        <w:t>Aufgenommen am 12.10.2026</w:t>
      </w:r>
    </w:p>
    <w:p>
      <w:pPr>
        <w:pStyle w:val="Heading2"/>
      </w:pPr>
      <w:r>
        <w:t>Digitale psychische Gesundheit: Algorithmen unterschätzen Symptome bei Frauen</w:t>
      </w:r>
    </w:p>
    <w:p>
      <w:r>
        <w:rPr>
          <w:i/>
          <w:color w:val="666666"/>
          <w:sz w:val="18"/>
        </w:rPr>
        <w:t>Cho CH  ·  Womens Health Nurs  ·  29.09.2026  ·  PMID 42860280</w:t>
      </w:r>
    </w:p>
    <w:p>
      <w:r>
        <w:t>Die Studie untersuchte, wie Geschlecht Zugang, Algorithmen-Performance und Wirksamkeit digitaler Psyche-Tools (Smartphone-Sensoren, Wearables, KI) beeinflussen.</w:t>
      </w:r>
    </w:p>
    <w:p>
      <w:r>
        <w:rPr>
          <w:b/>
        </w:rPr>
        <w:t xml:space="preserve">Ergebnis: </w:t>
      </w:r>
      <w:r>
        <w:t>Frauen nutzen digitale Angebote häufiger, beenden sie aber seltener (Zeit-Mangel statt niedriger Motivation). Diagnostische Algorithmen, auf männer-dominiertem Datensatz trainiert, unterschätzen Symptome bei Frauen teilweise erheblich. Gleiches Sensor-Signal (z.B. Bewegungsradius-Verringerung) hat unterschiedliche Bedeutung je nach körperlichem Kontext. Ergebnis: Die genannten Nachteile kumulative – ohne Geschlecht im Design bleibt das Gender-Equity-Gap bestehen.</w:t>
      </w:r>
    </w:p>
    <w:p>
      <w:r>
        <w:rPr>
          <w:b/>
          <w:sz w:val="19"/>
        </w:rPr>
        <w:t xml:space="preserve">Übertragbarkeit: </w:t>
      </w:r>
      <w:r>
        <w:rPr>
          <w:sz w:val="19"/>
        </w:rPr>
        <w:t>Südkorea – Konzepte zur Bias-Reduktion sind system-unabhängig; AWMF-Leitlinien für digitale Psychiatrie-Tools sollten Sex-disaggregierte Validierung verlangen.</w:t>
      </w:r>
    </w:p>
    <w:p>
      <w:r>
        <w:rPr>
          <w:color w:val="5A7D3A"/>
          <w:sz w:val="18"/>
        </w:rPr>
        <w:t>https://pubmed.ncbi.nlm.nih.gov/42860280/</w:t>
      </w:r>
    </w:p>
    <w:p>
      <w:pPr>
        <w:pStyle w:val="Heading2"/>
      </w:pPr>
      <w:r>
        <w:t>Nahrungsmittelarmut bei LGBTQ+ Personen: Zugang zu Hilfe bleibt Hürde</w:t>
      </w:r>
    </w:p>
    <w:p>
      <w:r>
        <w:rPr>
          <w:i/>
          <w:color w:val="666666"/>
          <w:sz w:val="18"/>
        </w:rPr>
        <w:t>Waters AR et al.  ·  JAMA Netw Open  ·  01.10.2026  ·  PMID 42848400</w:t>
      </w:r>
    </w:p>
    <w:p>
      <w:r>
        <w:t>Wiederholte Querschnittsstudie (2022–2024) mit 9.174 Erwachsenen in Massachusetts, davon 10,4–12,8% LGBTQ+, zu Nahrungsmittelarmut und Zugang zu Hilfe-Programmen.</w:t>
      </w:r>
    </w:p>
    <w:p>
      <w:r>
        <w:rPr>
          <w:b/>
        </w:rPr>
        <w:t xml:space="preserve">Ergebnis: </w:t>
      </w:r>
      <w:r>
        <w:t>Nahrungsmittelarmut stieg bei LGBTQ+ Personen von 43,7% (2022) auf 54,9% (2024) an – deutlich höher als bei Non-LGBTQ+ (29,8% auf 33,3%). Unter LGBTQ+ Non-Nutzer von Food-Pantries waren Barrieren: Wunsch nach Selbstständigkeit (49,4%), Scham (37,4%) und Angst vor Identifikation (35,6%) – alle signifikant höher als bei Non-LGBTQ+. Nutzung von Food-Pantries und SNAP blieb stabil trotz gestiegener Need.</w:t>
      </w:r>
    </w:p>
    <w:p>
      <w:r>
        <w:rPr>
          <w:b/>
          <w:sz w:val="19"/>
        </w:rPr>
        <w:t xml:space="preserve">Übertragbarkeit: </w:t>
      </w:r>
      <w:r>
        <w:rPr>
          <w:sz w:val="19"/>
        </w:rPr>
        <w:t>USA mit staatlichem Sozialsystem; Konzept der Stigma-basierten Zugangsbarrieren zu Versorgung ist auf Deutschland übertragbar.</w:t>
      </w:r>
    </w:p>
    <w:p>
      <w:r>
        <w:rPr>
          <w:color w:val="5A7D3A"/>
          <w:sz w:val="18"/>
        </w:rPr>
        <w:t>https://pubmed.ncbi.nlm.nih.gov/42848400/</w:t>
      </w:r>
    </w:p>
    <w:p>
      <w:pPr>
        <w:pStyle w:val="Heading2"/>
      </w:pPr>
      <w:r>
        <w:t>Elternhaltung prägt Therapie-Erfolg bei Transgender-Jugendlichen</w:t>
      </w:r>
    </w:p>
    <w:p>
      <w:r>
        <w:rPr>
          <w:i/>
          <w:color w:val="666666"/>
          <w:sz w:val="18"/>
        </w:rPr>
        <w:t>Condon M et al.  ·  Evid Based Pract Child Adolesc Ment Health  ·  26.02.2026  ·  PMID 42847878</w:t>
      </w:r>
    </w:p>
    <w:p>
      <w:r>
        <w:t>Qualitative Studie mit 52 Psychotherapeuten, 16 davon in follow-up Interviews, 6 transgender und gender-diversen Jugendlichen (14–22 J.) und 3 Eltern; Analyse wie Eltern die Fähigkeit von Therapeuten beeinflussen, geschlechtsangleichende Therapie zu leisten.</w:t>
      </w:r>
    </w:p>
    <w:p>
      <w:r>
        <w:rPr>
          <w:b/>
        </w:rPr>
        <w:t xml:space="preserve">Ergebnis: </w:t>
      </w:r>
      <w:r>
        <w:t>Eltern beeinflussten geschlechtsangleichende Therapie über fünf Mechanismen: (1) Überzeugungen über Geschlecht/Therapie-Ansatz, (2) Grad der Therapie-Beteiligung, (3) Emotionale Reaktionen der Eltern, (4) Wissenslücken, (5) Familiendynamik. Strategien zur Mitarbeit von Eltern: Narrative-Exposition (Kontakt zu trans Personen), Elternschulung, Ressourcen, Support-Gruppen, Therapeuten-Training. Zentrales Ergebnis: Eltern-Affirmation ist Voraussetzung für Therapie-Erfolg.</w:t>
      </w:r>
    </w:p>
    <w:p>
      <w:r>
        <w:rPr>
          <w:b/>
          <w:sz w:val="19"/>
        </w:rPr>
        <w:t xml:space="preserve">Übertragbarkeit: </w:t>
      </w:r>
      <w:r>
        <w:rPr>
          <w:sz w:val="19"/>
        </w:rPr>
        <w:t>USA; Design ist auf Deutschland übertragbar – klinische Leitlinien für Geschlechtsidentität im Kindesalter sollten Eltern-Engagement strukturieren.</w:t>
      </w:r>
    </w:p>
    <w:p>
      <w:r>
        <w:rPr>
          <w:color w:val="5A7D3A"/>
          <w:sz w:val="18"/>
        </w:rPr>
        <w:t>https://pubmed.ncbi.nlm.nih.gov/42847878/</w:t>
      </w:r>
    </w:p>
    <w:p>
      <w:pPr>
        <w:pStyle w:val="Heading2"/>
      </w:pPr>
      <w:r>
        <w:t>Psychische Belastung bei LGBTQIA+ Personen nach Wahlerschütterung</w:t>
      </w:r>
    </w:p>
    <w:p>
      <w:r>
        <w:rPr>
          <w:i/>
          <w:color w:val="666666"/>
          <w:sz w:val="18"/>
        </w:rPr>
        <w:t>Flentje A et al.  ·  Am J Public Health  ·  Nov. 2026  ·  PMID 42842884</w:t>
      </w:r>
    </w:p>
    <w:p>
      <w:r>
        <w:t>Längsschnitt-Studie an 2150 LGBTQIA+ Personen in den USA vor und nach der Präsidentschaftswahl 2024 mit Messungen von Depression, Angststörung und PTBS-Symptomen.</w:t>
      </w:r>
    </w:p>
    <w:p>
      <w:r>
        <w:rPr>
          <w:b/>
        </w:rPr>
        <w:t xml:space="preserve">Ergebnis: </w:t>
      </w:r>
      <w:r>
        <w:t>Bei LGBTQIA+-Personen ohne vorherige klinische Symptome verschlechterten sich Depression, Angststörung und PTBS-Symptome signifikant nach der Wahl. Transgender und gender-diverse Personen zeigten stärkere Verschlimmerung von Angststörung und PTBS als cisgender Personen (Effektgröße nicht beziffert). Bei Personen mit vorherigen Symptomen verbesserten sich diese marginal, blieben aber klinisch signifikant.</w:t>
      </w:r>
    </w:p>
    <w:p>
      <w:r>
        <w:rPr>
          <w:b/>
          <w:sz w:val="19"/>
        </w:rPr>
        <w:t xml:space="preserve">Übertragbarkeit: </w:t>
      </w:r>
      <w:r>
        <w:rPr>
          <w:sz w:val="19"/>
        </w:rPr>
        <w:t>USA-Kontext (Wahlpolitik); auf Deutschland übertragbar ist die Beobachtung, dass strukturelle Unsicherheit für marginalisierte Gruppen psychische Destabilisierung bewirkt.</w:t>
      </w:r>
    </w:p>
    <w:p>
      <w:r>
        <w:rPr>
          <w:color w:val="5A7D3A"/>
          <w:sz w:val="18"/>
        </w:rPr>
        <w:t>https://pubmed.ncbi.nlm.nih.gov/42842884/</w:t>
      </w:r>
    </w:p>
    <w:p>
      <w:pPr>
        <w:pStyle w:val="Heading2"/>
      </w:pPr>
      <w:r>
        <w:t>Geschlechterparität in Klinik-Führung: Konsens-Prioritäten für Umsetzung</w:t>
      </w:r>
    </w:p>
    <w:p>
      <w:r>
        <w:rPr>
          <w:i/>
          <w:color w:val="666666"/>
          <w:sz w:val="18"/>
        </w:rPr>
        <w:t>Garth B et al.  ·  Med J Aust  ·  Okt. 2026  ·  PMID 42839302</w:t>
      </w:r>
    </w:p>
    <w:p>
      <w:r>
        <w:t>Mixed-Methods-Studie (Interviews, Umfrage n=542, Nominal Group Technique Workshop) mit Ärzten und Führungskräften der Australian Medical Association; Ziel: evidenzgestützte Implementierungs-Prioritäten für Geschlechterparität in ärztlicher Leitung identifizieren.</w:t>
      </w:r>
    </w:p>
    <w:p>
      <w:r>
        <w:rPr>
          <w:b/>
        </w:rPr>
        <w:t xml:space="preserve">Ergebnis: </w:t>
      </w:r>
      <w:r>
        <w:t>Konsens-Prioritäten in fünf interne Organisationsmaßnahmen: (1) Geschlechter-Equity-Schulung, (2) Transparente Personalauswahl inklusive Geschlechter-Quoten, (3) Monitoring und Berichterstattung, (4) Respekt-Kultur und Verhaltens-Monitoring in Meetings/Events, (5) Führungs-Entwicklung für aufstrebende Frauen; und fünf externe: (1) Leadership für Geschlechter-Equity, (2) Daten-Advocacy, (3) flexible Karrierepfade, (4) Mentoring-Anerkennung, (5) Geschlechter-Lohnlücken-Strategien. Implementation läuft derzeit.</w:t>
      </w:r>
    </w:p>
    <w:p>
      <w:r>
        <w:rPr>
          <w:b/>
          <w:sz w:val="19"/>
        </w:rPr>
        <w:t xml:space="preserve">Übertragbarkeit: </w:t>
      </w:r>
      <w:r>
        <w:rPr>
          <w:sz w:val="19"/>
        </w:rPr>
        <w:t>Australien, aber Methodik und Prioritäten sind auf deutschsprachige Kammern und Medizin-Fakultäten direkt übertragbar.</w:t>
      </w:r>
    </w:p>
    <w:p>
      <w:r>
        <w:rPr>
          <w:color w:val="5A7D3A"/>
          <w:sz w:val="18"/>
        </w:rPr>
        <w:t>https://pubmed.ncbi.nlm.nih.gov/42839302/</w:t>
      </w:r>
    </w:p>
    <w:p>
      <w:pPr>
        <w:pStyle w:val="Heading2"/>
      </w:pPr>
      <w:r>
        <w:t>Hirnvolumen in Spätalter: Genetik unterscheidet sich kaum zwischen Männern und Frauen</w:t>
      </w:r>
    </w:p>
    <w:p>
      <w:r>
        <w:rPr>
          <w:i/>
          <w:color w:val="666666"/>
          <w:sz w:val="18"/>
        </w:rPr>
        <w:t>Breton É et al.  ·  Biol Sex Differ  ·  14.07.2026  ·  PMID 42449465</w:t>
      </w:r>
    </w:p>
    <w:p>
      <w:r>
        <w:t>Sex-stratifizierte Genom-Assoziationsstudie an 31.480 Personen aus UK Biobank (15.740 Frauen, 15.740 Männer) zu autosomalen genetischen Einflussfaktoren auf Hirnvolumen in 257 Regionen.</w:t>
      </w:r>
    </w:p>
    <w:p>
      <w:r>
        <w:rPr>
          <w:b/>
        </w:rPr>
        <w:t xml:space="preserve">Ergebnis: </w:t>
      </w:r>
      <w:r>
        <w:t>Heritability und genetische Korrelationen zwischen Frauen und Männern ähnelten sich stark – geteilte genetische Einflüsse auf Hirnvolumen. Allerdings: Die Zahl der Gene, die mit Hirnvolumen assoziiert sind, war bei Frauen höher als bei Männern. Besonders ausgeprägt war dieser Unterschied in limbischen Regionen (Insula, Gyrus cinguli, Hippocampus, Amygdala). Befund zeigt also: Biologische Grundlagen ähnlich, aber unterschiedliche genetische Komplexität.</w:t>
      </w:r>
    </w:p>
    <w:p>
      <w:r>
        <w:rPr>
          <w:b/>
          <w:sz w:val="19"/>
        </w:rPr>
        <w:t xml:space="preserve">Übertragbarkeit: </w:t>
      </w:r>
      <w:r>
        <w:rPr>
          <w:sz w:val="19"/>
        </w:rPr>
        <w:t>UK Biobank-Daten, vergleichbare Struktur mit europäischen Kohorten; methodisch relevant für zukünftige GWAS-Designs mit deutschen Stichproben.</w:t>
      </w:r>
    </w:p>
    <w:p>
      <w:r>
        <w:rPr>
          <w:color w:val="5A7D3A"/>
          <w:sz w:val="18"/>
        </w:rPr>
        <w:t>https://pubmed.ncbi.nlm.nih.gov/42449465/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Geschlechtersensible Medizin</dc:title>
  <dc:subject/>
  <dc:creator>Monitor Versorgungsforschung</dc:creator>
  <cp:keywords/>
  <dc:description>generated by python-docx</dc:description>
  <cp:lastModifiedBy/>
  <cp:revision>1</cp:revision>
  <dcterms:created xsi:type="dcterms:W3CDTF">2026-10-12T06:00:00Z</dcterms:created>
  <dcterms:modified xsi:type="dcterms:W3CDTF">2026-10-12T06:00:00Z</dcterms:modified>
  <cp:category/>
</cp:coreProperties>
</file>