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20.09.2026  |  6 Studien  |  gender.m-vf.de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Aortenchirurgie: Frauen berichten über schlechtere Lebensqualität in sozialen Beziehungen</w:t>
      </w:r>
    </w:p>
    <w:p>
      <w:r>
        <w:rPr>
          <w:i/>
          <w:color w:val="666666"/>
          <w:sz w:val="18"/>
        </w:rPr>
        <w:t>Kubisa AM et al.  ·  Vasc Health Risk Manag  ·  14.09.2026  ·  PMID 42761883</w:t>
      </w:r>
    </w:p>
    <w:p>
      <w:r>
        <w:t>Prospektive Kohortenstudie mit 150 Patienten (113 Männer, 37 Frauen) zur Erfassung von Lebensqualität, Krankheitsakzeptanz und psychischer Belastung 2 Jahre nach Aortenchirurgie mittels standardisierter Fragebögen.</w:t>
      </w:r>
    </w:p>
    <w:p>
      <w:r>
        <w:rPr>
          <w:b/>
        </w:rPr>
        <w:t xml:space="preserve">Ergebnis: </w:t>
      </w:r>
      <w:r>
        <w:t>Frauen zeigten unmittelbar nach der Operation niedrigere WHOQOL-Werte in allen vier Domänen (Psychologisch: 58,4 vs. 68,1; p=0,001; Soziale Beziehungen: 59,0 vs. 69,6; p&lt;0,001). Nach Adjustierung blieb das Defizit in der Domäne soziale Beziehungen persistent (adjustierte Differenz -6,86; 95%-KI -12,27 bis -1,44; p=0,013). Diese Beobachtung ist hypothesengenerierend und zeigt geschlechtsspezifische Unterschiede in psychosozialen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Dokumentation wie deutsche Kliniken; Ursache nicht bestimmt.</w:t>
      </w:r>
    </w:p>
    <w:p>
      <w:r>
        <w:rPr>
          <w:color w:val="5A7D3A"/>
          <w:sz w:val="18"/>
        </w:rPr>
        <w:t>https://pubmed.ncbi.nlm.nih.gov/42761883/</w:t>
      </w:r>
    </w:p>
    <w:p>
      <w:pPr>
        <w:pStyle w:val="Heading2"/>
      </w:pPr>
      <w:r>
        <w:t>Schilddrüsenfunktion und Diabetes: Männer unter 65 Jahren stärker gefährdet</w:t>
      </w:r>
    </w:p>
    <w:p>
      <w:r>
        <w:rPr>
          <w:i/>
          <w:color w:val="666666"/>
          <w:sz w:val="18"/>
        </w:rPr>
        <w:t>Choi JY et al.  ·  Medicine (Baltimore)  ·  18.09.2026  ·  PMID 42760714</w:t>
      </w:r>
    </w:p>
    <w:p>
      <w:r>
        <w:t>Querschnittstudie mit 4910 erwachsenen Koreanern zur Prüfung der Assoziation zwischen TSH-, freies T4- und TPOAb-Spiegeln und Diabetesrisiko, stratifiziert nach Geschlecht und Alter.</w:t>
      </w:r>
    </w:p>
    <w:p>
      <w:r>
        <w:rPr>
          <w:b/>
        </w:rPr>
        <w:t xml:space="preserve">Ergebnis: </w:t>
      </w:r>
      <w:r>
        <w:t>Hohe TSH-Werte waren signifikant mit erhöhtem Diabetesrisiko assoziiert (OR=2,82; 95%-KI 1,26–6,32), besonders bei Männern unter 65 Jahren (OR=5,10; 95%-KI 1,65–15,77). Niedrige freies-T4-Werte zeigten erhöhtes Risiko (OR=2,08; 95%-KI 1,16–3,75), ebenfalls vornehmlich bei jüngeren Männern. Diese Unterschiede deuten auf biologische Geschlechtsvariabilität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 Gesundheitsdaten; biologische Unterschiede, nicht Zugangsweg relevant.</w:t>
      </w:r>
    </w:p>
    <w:p>
      <w:r>
        <w:rPr>
          <w:color w:val="5A7D3A"/>
          <w:sz w:val="18"/>
        </w:rPr>
        <w:t>https://pubmed.ncbi.nlm.nih.gov/42760714/</w:t>
      </w:r>
    </w:p>
    <w:p>
      <w:pPr>
        <w:pStyle w:val="Heading2"/>
      </w:pPr>
      <w:r>
        <w:t>Brustkrebs: Schwarze Frauen haben doppelt so hohe Raten für triple-negative Subtypen</w:t>
      </w:r>
    </w:p>
    <w:p>
      <w:r>
        <w:rPr>
          <w:i/>
          <w:color w:val="666666"/>
          <w:sz w:val="18"/>
        </w:rPr>
        <w:t>Barsha RAA et al.  ·  Cancer Med  ·  Sept. 2026  ·  PMID 42760641</w:t>
      </w:r>
    </w:p>
    <w:p>
      <w:r>
        <w:t>Bevölkerungsbasierte Analyse von 21.130 Brustkrebspatientinnen (64,4% Weiße, 35,6% Schwarze Frauen) zur Untersuchung von Inzidenztrends nach Rasse, Stadium und molekularem Subtyp im Zeitraum 2010–2019 in Mississippi.</w:t>
      </w:r>
    </w:p>
    <w:p>
      <w:r>
        <w:rPr>
          <w:b/>
        </w:rPr>
        <w:t xml:space="preserve">Ergebnis: </w:t>
      </w:r>
      <w:r>
        <w:t>Schwarze Frauen hatten höhere Gesamtinzidenzraten als Weiße Frauen (178,0 vs. 159,1 pro 100.000). Schwarze Frauen zeigten höhere Inzidenzraten für HER2-überexprimierende Krebserkrankungen (IRR=1,55; 95%-KI 1,15–2,10) und triple-negative Krebserkrankungen (IRR=2,35; 95%-KI 1,74–3,17). Unterschiede deuten auf biologische Heterogenität und/oder Zugangsunterschiede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Rasse/Ethnizität und biologische Subtypen, aber US-spezifische Screening-Praktiken.</w:t>
      </w:r>
    </w:p>
    <w:p>
      <w:r>
        <w:rPr>
          <w:color w:val="5A7D3A"/>
          <w:sz w:val="18"/>
        </w:rPr>
        <w:t>https://pubmed.ncbi.nlm.nih.gov/42760641/</w:t>
      </w:r>
    </w:p>
    <w:p>
      <w:pPr>
        <w:pStyle w:val="Heading2"/>
      </w:pPr>
      <w:r>
        <w:t>Schlaganfall mit Herzinsuffizienz: Sterblichkeit steigt, Männer stärker betroffen</w:t>
      </w:r>
    </w:p>
    <w:p>
      <w:r>
        <w:rPr>
          <w:i/>
          <w:color w:val="666666"/>
          <w:sz w:val="18"/>
        </w:rPr>
        <w:t>Bsharat AM et al.  ·  Brain Behav  ·  Sept. 2026  ·  PMID 42755241</w:t>
      </w:r>
    </w:p>
    <w:p>
      <w:r>
        <w:t>Analyse von CDC-Todesursachendaten (1999–2023) für Erwachsene ≥15 Jahre mit Schlaganfall als Grundursache und Herzinsuffizienz als Nebendiagnose; Joinpoint-Regression zur Ermittlung von Trends und Disparitäten.</w:t>
      </w:r>
    </w:p>
    <w:p>
      <w:r>
        <w:rPr>
          <w:b/>
        </w:rPr>
        <w:t xml:space="preserve">Ergebnis: </w:t>
      </w:r>
      <w:r>
        <w:t>Die altersadjustierte Sterblichkeitsrate (AAMR) sank von 4,09 (1999) auf 2,74 (2023), stieg dann aber 2016–2023 um 5,38% jährlich. Das Männer-zu-Frauen-Verhältnis stieg signifikant 2009–2023. Schwarze Personen hatten die höchsten AAMRs. Ländliche Gebiete zeigten höhere Raten. Diese Unterschiede entstehen durch Zugangs- und Versorgungsfaktoren, Biologie nicht primär.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CDC-Daten; Geschlechts- und Rassen-Disparitäten dokumentiert, aber US-Zugangsmuster.</w:t>
      </w:r>
    </w:p>
    <w:p>
      <w:r>
        <w:rPr>
          <w:color w:val="5A7D3A"/>
          <w:sz w:val="18"/>
        </w:rPr>
        <w:t>https://pubmed.ncbi.nlm.nih.gov/42755241/</w:t>
      </w:r>
    </w:p>
    <w:p>
      <w:pPr>
        <w:pStyle w:val="Heading2"/>
      </w:pPr>
      <w:r>
        <w:t>Multiples Myelom: Sterblichkeit sank, aber rassische Disparität verdoppelt sich</w:t>
      </w:r>
    </w:p>
    <w:p>
      <w:r>
        <w:rPr>
          <w:i/>
          <w:color w:val="666666"/>
          <w:sz w:val="18"/>
        </w:rPr>
        <w:t>Ali ME et al.  ·  Cancer Causes Control  ·  18.09.2026  ·  PMID 42754761</w:t>
      </w:r>
    </w:p>
    <w:p>
      <w:r>
        <w:t>Analyse nationaler US-Sterblichkeitstrends (1999–2024) für multiples Myelom nach Geschlecht, Alter, Rasse/Ethnizität, Region und Urbanisierung; ARIMA-Modelle für Projektion bis 2034.</w:t>
      </w:r>
    </w:p>
    <w:p>
      <w:r>
        <w:rPr>
          <w:b/>
        </w:rPr>
        <w:t xml:space="preserve">Ergebnis: </w:t>
      </w:r>
      <w:r>
        <w:t>Die altersadjustierte AAMR sank von 37,6 auf 25,1 pro 1 Mio. (AAPC -1,8%; 95%-KI -2,1 bis -1,5; p&lt;0,001), beschleunigt ab 2012 (APC -3,2%). Männer hatten durchgehend höhere Raten als Frauen (32,4 vs. 19,8 pro 1 Mio. 2024). Schwarze oder afrikanisch-amerikanische Personen zeigten 2024 mehr als doppelte Mortalitätsraten gegenüber Weißen (48,0 vs. 23,5 pro 1 Mio.). Disparitäten sind für 2034 persistierend prognostiziert.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Zugangs- und Versorgungsungleichheit, nicht Biologie; US-spezifische Therapieinnovationen.</w:t>
      </w:r>
    </w:p>
    <w:p>
      <w:r>
        <w:rPr>
          <w:color w:val="5A7D3A"/>
          <w:sz w:val="18"/>
        </w:rPr>
        <w:t>https://pubmed.ncbi.nlm.nih.gov/42754761/</w:t>
      </w:r>
    </w:p>
    <w:p>
      <w:pPr>
        <w:pStyle w:val="Heading2"/>
      </w:pPr>
      <w:r>
        <w:t>LGBTQ+-Unterricht in Pflegefakultäten: Engagement schlägt Expertise</w:t>
      </w:r>
    </w:p>
    <w:p>
      <w:r>
        <w:rPr>
          <w:i/>
          <w:color w:val="666666"/>
          <w:sz w:val="18"/>
        </w:rPr>
        <w:t>Nye CM et al.  ·  J Prof Nurs  ·  30.05.2026  ·  PMID 42744418</w:t>
      </w:r>
    </w:p>
    <w:p>
      <w:r>
        <w:t>Erklärende Mischstudie mit Umfrage (Phase I, n=196 Dozenten) und Interviews (Phase II, n=19) zur Erfassung von Erfahrungen von Pflegedozenten mit LGBTQ+-Inklusion in der Lehre an US-amerikanischen Schulen.</w:t>
      </w:r>
    </w:p>
    <w:p>
      <w:r>
        <w:rPr>
          <w:b/>
        </w:rPr>
        <w:t xml:space="preserve">Ergebnis: </w:t>
      </w:r>
      <w:r>
        <w:t>Selbstvertrauen mit LGBTQ+-Inklusion und Engagement zur Aufnahme von LGBTQ+-Inhalten hatten signifikante Auswirkungen auf die Aufnahme von Gesundheitsinhalten für LGBTQ+ in den Lehrplan (p nicht angegeben, qualitative Kernaussage: Commitment und interpersonale/institutionelle Faktoren wichtiger als Expertise). Strukturelle Barrieren wie fehlende institutionelle Unterstützung waren identifizierbar, aber überwindbar.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unterrichtsbasierte Intervention mit Vorkehrungspotential, aber US-Lehrkontext.</w:t>
      </w:r>
    </w:p>
    <w:p>
      <w:r>
        <w:rPr>
          <w:color w:val="5A7D3A"/>
          <w:sz w:val="18"/>
        </w:rPr>
        <w:t>https://pubmed.ncbi.nlm.nih.gov/42744418/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