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Geschlecht und Gesundheit</w:t>
      </w:r>
    </w:p>
    <w:p>
      <w:r>
        <w:rPr>
          <w:i/>
          <w:color w:val="666666"/>
          <w:sz w:val="18"/>
        </w:rPr>
        <w:t>Stand: 29.09.2026  |  220 Studien  |  gender.m-vf.de</w:t>
      </w:r>
    </w:p>
    <w:p>
      <w:pPr>
        <w:pStyle w:val="Heading1"/>
      </w:pPr>
      <w:r>
        <w:t>Aufgenommen am 29.09.2026</w:t>
      </w:r>
    </w:p>
    <w:p>
      <w:pPr>
        <w:pStyle w:val="Heading2"/>
      </w:pPr>
      <w:r>
        <w:t>Geschlechtsspezifische Phänotypen beim Hyperparathyreoidismus: Frauen mit skelettalen, Männer mit kardiovaskulären Risiken</w:t>
      </w:r>
    </w:p>
    <w:p>
      <w:r>
        <w:rPr>
          <w:i/>
          <w:color w:val="666666"/>
          <w:sz w:val="18"/>
        </w:rPr>
        <w:t>Maddalena RR et al.  ·  Endocrine  ·  28.09.2026  ·  PMID 42804060</w:t>
      </w:r>
    </w:p>
    <w:p>
      <w:r>
        <w:t>Retrospektive Analyse von 315 Patienten mit primärem Hyperparathyreoidismus zur Untersuchung geschlechtsspezifischer Unterschiede in klinischer Präsentation und Komplikationen.</w:t>
      </w:r>
    </w:p>
    <w:p>
      <w:r>
        <w:rPr>
          <w:b/>
        </w:rPr>
        <w:t xml:space="preserve">Ergebnis: </w:t>
      </w:r>
      <w:r>
        <w:t>Frauen zeigten signifikant höhere Prävalenz von Osteopenie/Osteoporose (71,7 % vs. 53,1 %, p = 0,004), vertebralen Frakturen (44 % vs. 12 %, p &lt; 0,001) und Knochenschmerzen (60,7 % vs. 10,3 %, p &lt; 0,001). Männer hatten höhere Nephrolithiasisraten (p = 0,013) und kardiovaskuläre Komorbiditäten (p = 0,046). Hormonabhängig unterschiedliche Krankheitsmanifestationen erfordern geschlechtsspezifische Behandlungsansätze.</w:t>
      </w:r>
    </w:p>
    <w:p>
      <w:r>
        <w:rPr>
          <w:b/>
          <w:sz w:val="19"/>
        </w:rPr>
        <w:t xml:space="preserve">Übertragbarkeit: </w:t>
      </w:r>
      <w:r>
        <w:rPr>
          <w:sz w:val="19"/>
        </w:rPr>
        <w:t>Italien, einzelnes Zentrum – Generalisierbarkeit für Deutschland begrenzt, aber biologisches Geschlecht als Einflussfaktor klar belegt.</w:t>
      </w:r>
    </w:p>
    <w:p>
      <w:r>
        <w:rPr>
          <w:color w:val="5A7D3A"/>
          <w:sz w:val="18"/>
        </w:rPr>
        <w:t>https://pubmed.ncbi.nlm.nih.gov/42804060/</w:t>
      </w:r>
    </w:p>
    <w:p>
      <w:pPr>
        <w:pStyle w:val="Heading2"/>
      </w:pPr>
      <w:r>
        <w:t>Menstruationsgesundheit South Asians vs. Weiße Britin: Kulturelle Stigma und Versorgungsungleichheit</w:t>
      </w:r>
    </w:p>
    <w:p>
      <w:r>
        <w:rPr>
          <w:i/>
          <w:color w:val="666666"/>
          <w:sz w:val="18"/>
        </w:rPr>
        <w:t>Birtel MD et al.  ·  Womens Health (Lond)  ·  28.09.2026  ·  PMID 42803365</w:t>
      </w:r>
    </w:p>
    <w:p>
      <w:r>
        <w:t>Querschnitterhebung mit 306 menstruierenden Frauen (153 South Asian, 153 Weiß-Britisch) im UK zu kulturellen Unterschieden in Menstruationserfahrungen, Literacy, Stigma und Diskriminierung im Gesundheitswesen.</w:t>
      </w:r>
    </w:p>
    <w:p>
      <w:r>
        <w:rPr>
          <w:b/>
        </w:rPr>
        <w:t xml:space="preserve">Ergebnis: </w:t>
      </w:r>
      <w:r>
        <w:t>South Asian Frauen berichteten niedrigere Menstruations-Literacy, größere Geheimhaltung und Vermeidungsverhalten beim Diskutieren von Menstruation, aber auch positivere Emotionen gegenüber Menstruation. Sie erlebten mehr ethnische Mikroaggressionen im Gesundheitswesen. Geheimhaltung und Mikroaggressionen vermittelten den Effekt von Kulturgruppe auf Selbststigma beim Hilfesuchverhalten. Zeigt Zugang und Arzt-Patient-Interaktion als Barrieren, nicht biologische Geschlechtsunterschiede.</w:t>
      </w:r>
    </w:p>
    <w:p>
      <w:r>
        <w:rPr>
          <w:b/>
          <w:sz w:val="19"/>
        </w:rPr>
        <w:t xml:space="preserve">Übertragbarkeit: </w:t>
      </w:r>
      <w:r>
        <w:rPr>
          <w:sz w:val="19"/>
        </w:rPr>
        <w:t>Großbritannien, qualitative Befunde zu Zugang und Arztkommunikation; Thema hochrelevant für Migrantinnengruppen in Deutschland.</w:t>
      </w:r>
    </w:p>
    <w:p>
      <w:r>
        <w:rPr>
          <w:color w:val="5A7D3A"/>
          <w:sz w:val="18"/>
        </w:rPr>
        <w:t>https://pubmed.ncbi.nlm.nih.gov/42803365/</w:t>
      </w:r>
    </w:p>
    <w:p>
      <w:pPr>
        <w:pStyle w:val="Heading2"/>
      </w:pPr>
      <w:r>
        <w:t>Vereinbarkeit Familie-Beruf und psychische Gesundheit: Mütter und Väter unterschiedlich belastet</w:t>
      </w:r>
    </w:p>
    <w:p>
      <w:r>
        <w:rPr>
          <w:i/>
          <w:color w:val="666666"/>
          <w:sz w:val="18"/>
        </w:rPr>
        <w:t>Taouk Y et al.  ·  Epidemiol Psychiatr Sci  ·  28.09.2026  ·  PMID 42802615</w:t>
      </w:r>
    </w:p>
    <w:p>
      <w:r>
        <w:t>Längsschnittanalyse mit fixed-effects-Regression von 7.265 berufstätigen Eltern aus HILDA-Kohorte (Australien, 2001–2021) zu Assoziation zwischen Work-Family-Conflict (WFC) und mentaler Gesundheit.</w:t>
      </w:r>
    </w:p>
    <w:p>
      <w:r>
        <w:rPr>
          <w:b/>
        </w:rPr>
        <w:t xml:space="preserve">Ergebnis: </w:t>
      </w:r>
      <w:r>
        <w:t>Zunahme des WFC war negativ assoziiert mit psychischer Gesundheit bei Frauen (β = −1,25 [95 % KI: −1,45, −1,05]) und Männern (β = −1,21 [95 % KI: −1,40, −1,02]). Zunahme von FWC (Family-to-Work) war stärker schädlich für Männer (β = −1,51 [95 % KI: −1,75, −1,28]) als Frauen (β = −1,09 [95 % KI: −1,33, −0,85]). Kleine, aber konsistent signifikante Geschlechtsunterschiede deuten auf unterschiedliche psychische Belastungsmuster hin.</w:t>
      </w:r>
    </w:p>
    <w:p>
      <w:r>
        <w:rPr>
          <w:b/>
          <w:sz w:val="19"/>
        </w:rPr>
        <w:t xml:space="preserve">Übertragbarkeit: </w:t>
      </w:r>
      <w:r>
        <w:rPr>
          <w:sz w:val="19"/>
        </w:rPr>
        <w:t>Australien, vergleichbare Arbeitsmärkte; großes, 21-jähriges Längsschnittpanel mit Gatekeeping wie Deutschland.</w:t>
      </w:r>
    </w:p>
    <w:p>
      <w:r>
        <w:rPr>
          <w:color w:val="5A7D3A"/>
          <w:sz w:val="18"/>
        </w:rPr>
        <w:t>https://pubmed.ncbi.nlm.nih.gov/42802615/</w:t>
      </w:r>
    </w:p>
    <w:p>
      <w:pPr>
        <w:pStyle w:val="Heading2"/>
      </w:pPr>
      <w:r>
        <w:t>Überaktive Blase: Ältere Frauen erhalten länger Anticholinergika statt β3-Agonisten</w:t>
      </w:r>
    </w:p>
    <w:p>
      <w:r>
        <w:rPr>
          <w:i/>
          <w:color w:val="666666"/>
          <w:sz w:val="18"/>
        </w:rPr>
        <w:t>Koike T et al.  ·  Low Urin Tract Symptoms  ·  Nov. 2026  ·  PMID 42802498</w:t>
      </w:r>
    </w:p>
    <w:p>
      <w:r>
        <w:t>Nationale japanische Analyse von Verschreibungsmustern für überaktive Blase (OAB) 2017–2024, stratifiziert nach Alter und Geschlecht, mit Fokus auf Anticholinergika-Burden.</w:t>
      </w:r>
    </w:p>
    <w:p>
      <w:r>
        <w:rPr>
          <w:b/>
        </w:rPr>
        <w:t xml:space="preserve">Ergebnis: </w:t>
      </w:r>
      <w:r>
        <w:t>β3-Agonisten-Anteil stieg von 36,2 % auf 64,9 %; in FY2024 war ihr Anteil bei Männern in allen Altersgruppen höher. Anticholinerge Burden (ACB-weighted) war bei Frauen höher, Verhältnis Frau:Mann stieg mit Alter (1,1 bei 65–74 Jahren, 2,8 bei ≥85 Jahren). Bei Frauen ≥85 Jahren sank die Verschreibungsmenge nur um 11,3 % statt ~20 %. Ältere Frauen bleiben kognitiv riskanteren Wirkstoffen länger exponiert.</w:t>
      </w:r>
    </w:p>
    <w:p>
      <w:r>
        <w:rPr>
          <w:b/>
          <w:sz w:val="19"/>
        </w:rPr>
        <w:t xml:space="preserve">Übertragbarkeit: </w:t>
      </w:r>
      <w:r>
        <w:rPr>
          <w:sz w:val="19"/>
        </w:rPr>
        <w:t>Japan – Registerqualität vergleichbar mit europäischer; Geschlechtsunterschied in Praxis-Adhärenz zu Leitlinien dokumentiert.</w:t>
      </w:r>
    </w:p>
    <w:p>
      <w:r>
        <w:rPr>
          <w:color w:val="5A7D3A"/>
          <w:sz w:val="18"/>
        </w:rPr>
        <w:t>https://pubmed.ncbi.nlm.nih.gov/42802498/</w:t>
      </w:r>
    </w:p>
    <w:p>
      <w:pPr>
        <w:pStyle w:val="Heading2"/>
      </w:pPr>
      <w:r>
        <w:t>Geschlechtsangleichende Versorgung in Hongkong: AMAB mit höheren psychischen Komorbiditäten, längere Wartezeiten für alle</w:t>
      </w:r>
    </w:p>
    <w:p>
      <w:r>
        <w:rPr>
          <w:i/>
          <w:color w:val="666666"/>
          <w:sz w:val="18"/>
        </w:rPr>
        <w:t>Chan TF et al.  ·  East Asian Arch Psychiatry  ·  Sept. 2026  ·  PMID 42802391</w:t>
      </w:r>
    </w:p>
    <w:p>
      <w:r>
        <w:t>Retrospektive Analyse von 609 Patienten (349 AMAB, 260 AFAB) eines Geschlechtsidentitätsambulanzen über 6 Jahre zu Versorgungszugang, psychiatrischen Komorbiditäten und Suizidalität.</w:t>
      </w:r>
    </w:p>
    <w:p>
      <w:r>
        <w:rPr>
          <w:b/>
        </w:rPr>
        <w:t xml:space="preserve">Ergebnis: </w:t>
      </w:r>
      <w:r>
        <w:t>AMAB waren bei Vorstellung älter und hatten höhere psychiatrische Komorbiditäten (31,5 % vs. 24,2 %), insbesondere Autismus und frühere Suizidversuche. AFAB forderten mehr Chirurgien an (73,4 % vs. 56,2 %). Wartezeiten für endokrinologische Bewertung stiegen von ~105 Tagen (2017) auf &gt;400 Tage (2022). Zwei AMAB und ein AFAB starben durch Suizid während des Wartens. Unmet demand und prolongierte Wartezeiten gefährden vulnerable Populationen.</w:t>
      </w:r>
    </w:p>
    <w:p>
      <w:r>
        <w:rPr>
          <w:b/>
          <w:sz w:val="19"/>
        </w:rPr>
        <w:t xml:space="preserve">Übertragbarkeit: </w:t>
      </w:r>
      <w:r>
        <w:rPr>
          <w:sz w:val="19"/>
        </w:rPr>
        <w:t>Hongkong, öffentliches System; zeigt Zugangsbarriere als Ursache schlechterer Outcomes, nicht Biologie.</w:t>
      </w:r>
    </w:p>
    <w:p>
      <w:r>
        <w:rPr>
          <w:color w:val="5A7D3A"/>
          <w:sz w:val="18"/>
        </w:rPr>
        <w:t>https://pubmed.ncbi.nlm.nih.gov/42802391/</w:t>
      </w:r>
    </w:p>
    <w:p>
      <w:pPr>
        <w:pStyle w:val="Heading2"/>
      </w:pPr>
      <w:r>
        <w:t>Schwangerschaftskohorte Shenzhen: Prä-BMI bei Knaben mit Entwicklungsverzögerungen stärker assoziiert</w:t>
      </w:r>
    </w:p>
    <w:p>
      <w:r>
        <w:rPr>
          <w:i/>
          <w:color w:val="666666"/>
          <w:sz w:val="18"/>
        </w:rPr>
        <w:t>Li X et al.  ·  BMJ Open  ·  23.09.2026  ·  PMID 42778246</w:t>
      </w:r>
    </w:p>
    <w:p>
      <w:r>
        <w:t>Prospektive Geburtskohorte mit 4.208 schwangeren Frauen seit März 2018, Nachverfolgung bis 7 Jahre, zu Effekten genetischer, umwelt- und lebensstilfaktoren auf mütterliche und kindliche Gesundheit.</w:t>
      </w:r>
    </w:p>
    <w:p>
      <w:r>
        <w:rPr>
          <w:b/>
        </w:rPr>
        <w:t xml:space="preserve">Ergebnis: </w:t>
      </w:r>
      <w:r>
        <w:t>Höherer Prä-Schwangerschafts-BMI assoziiert mit Entwicklungsverzögerungen bei Nachkommen, besonders bei Jungen. Schlechte Schlafqualität in Frühschwangerschaft assoziiert mit Small-for-Gestational-Age. Pränatale Grünflächenexposition assoziiert mit besserer motorischer Entwicklung, PM₂,₅-Exposition postnatal mit verzögerter motorischer und Problemlösungs-Entwicklung. Sex als biologische Variable moderiert Umwelteffekte.</w:t>
      </w:r>
    </w:p>
    <w:p>
      <w:r>
        <w:rPr>
          <w:b/>
          <w:sz w:val="19"/>
        </w:rPr>
        <w:t xml:space="preserve">Übertragbarkeit: </w:t>
      </w:r>
      <w:r>
        <w:rPr>
          <w:sz w:val="19"/>
        </w:rPr>
        <w:t>China; Geburtskohorte mit Geschlechtsstratifizierung – Methodenmodell für deutsche Kohortenforschung, aber nicht deutsches System.</w:t>
      </w:r>
    </w:p>
    <w:p>
      <w:r>
        <w:rPr>
          <w:color w:val="5A7D3A"/>
          <w:sz w:val="18"/>
        </w:rPr>
        <w:t>https://pubmed.ncbi.nlm.nih.gov/42778246/</w:t>
      </w:r>
    </w:p>
    <w:p>
      <w:pPr>
        <w:pStyle w:val="Heading2"/>
      </w:pPr>
      <w:r>
        <w:t>Fertilitätserhalt für transgender Personen: TransFertility-Modell steigert Zugang und Completion</w:t>
      </w:r>
    </w:p>
    <w:p>
      <w:r>
        <w:rPr>
          <w:i/>
          <w:color w:val="666666"/>
          <w:sz w:val="18"/>
        </w:rPr>
        <w:t>Tsonis O et al.  ·  Reprod Biomed Online  ·  25.06.2026  ·  PMID 42561480</w:t>
      </w:r>
    </w:p>
    <w:p>
      <w:r>
        <w:t>Fallbericht und Evidence-Synthese zur Implementierung eines dysphorie-informierten, trans-inklusiven Fertilitätsschutz-Pfads am Guy's and St Thomas' NHS Trust, London, mit Outcomes über 39 Monate.</w:t>
      </w:r>
    </w:p>
    <w:p>
      <w:r>
        <w:rPr>
          <w:b/>
        </w:rPr>
        <w:t xml:space="preserve">Ergebnis: </w:t>
      </w:r>
      <w:r>
        <w:t>Das TransFertility-Modell erzielte 19-fache Steigerung der Überweisungen, 100 % Konsultations-Attendance, &gt;90 % Treatment-Initiation und 96,7 % Completion ohne schwere Nebenwirkungen. Dysphorie-informierte Umgestaltung von Administration, Klinik und psychosozialen Komponenten verbesserte Zugang, Engagement und Adherence. Zeigt, dass Strukturdesign – nicht nur Leitlinien – Zugangsbarrieren für transgender Personen abbaut.</w:t>
      </w:r>
    </w:p>
    <w:p>
      <w:r>
        <w:rPr>
          <w:b/>
          <w:sz w:val="19"/>
        </w:rPr>
        <w:t xml:space="preserve">Übertragbarkeit: </w:t>
      </w:r>
      <w:r>
        <w:rPr>
          <w:sz w:val="19"/>
        </w:rPr>
        <w:t>Großbritannien, NHS; deutsches System ähnlicher Zugangsschutz, aber keine vergleichbaren Spezialistenservices etabliert.</w:t>
      </w:r>
    </w:p>
    <w:p>
      <w:r>
        <w:rPr>
          <w:color w:val="5A7D3A"/>
          <w:sz w:val="18"/>
        </w:rPr>
        <w:t>https://pubmed.ncbi.nlm.nih.gov/42561480/</w:t>
      </w:r>
    </w:p>
    <w:p>
      <w:pPr>
        <w:pStyle w:val="Heading1"/>
      </w:pPr>
      <w:r>
        <w:t>Aufgenommen am 28.09.2026</w:t>
      </w:r>
    </w:p>
    <w:p>
      <w:pPr>
        <w:pStyle w:val="Heading2"/>
      </w:pPr>
      <w:r>
        <w:t>Übergewichtsdisparitäten bei Kindern: Ethnische Segregation und Schulumgebung bestimmen Unterschiede</w:t>
      </w:r>
    </w:p>
    <w:p>
      <w:r>
        <w:rPr>
          <w:i/>
          <w:color w:val="666666"/>
          <w:sz w:val="18"/>
        </w:rPr>
        <w:t>Miller S et al.  ·  Pediatr Obes  ·  Okt. 2026  ·  PMID 42802009</w:t>
      </w:r>
    </w:p>
    <w:p>
      <w:r>
        <w:t>Beobachtungsstudie mit Messungen des Übergewichts bei kalifornischen Schulkindern 2018/19, Analyse nach ethnischer Schulzusammensetzung und Nachbarschaftseinkommen.</w:t>
      </w:r>
    </w:p>
    <w:p>
      <w:r>
        <w:rPr>
          <w:b/>
        </w:rPr>
        <w:t xml:space="preserve">Ergebnis: </w:t>
      </w:r>
      <w:r>
        <w:t>In integrierten einkommensschwachen Schulen betrug die Disparität zwischen Schwarzen und Weißen Kindern 3 %, zwischen Latinos und Weißen 10 %. In integrierten wohlhabenden Schulen waren es 8 % bzw. 13 %. In segregierten einkommensschwachen Schulen: 11 % bzw. 14 %; in segregierten wohlhabenden Schulen: 22 % bzw. 26 %. Die größte Disparität (23 % bzw. 28 %) lag zwischen Minderheitskindern in segregierten armen und Weißen Kindern in segregierten wohlhabenden Schulen. Dies zeigt: Unterschiede sind nicht biologisch, sondern durch Zugang zu Ressourcen und strukturelle Segregation bestimmt.</w:t>
      </w:r>
    </w:p>
    <w:p>
      <w:r>
        <w:rPr>
          <w:b/>
          <w:sz w:val="19"/>
        </w:rPr>
        <w:t xml:space="preserve">Übertragbarkeit: </w:t>
      </w:r>
      <w:r>
        <w:rPr>
          <w:sz w:val="19"/>
        </w:rPr>
        <w:t>USA-Daten, aber soziologische Mechanik (Segregation und Armut als Determinanten) übertragbar auf Deutschland</w:t>
      </w:r>
    </w:p>
    <w:p>
      <w:r>
        <w:rPr>
          <w:color w:val="5A7D3A"/>
          <w:sz w:val="18"/>
        </w:rPr>
        <w:t>https://pubmed.ncbi.nlm.nih.gov/42802009/</w:t>
      </w:r>
    </w:p>
    <w:p>
      <w:pPr>
        <w:pStyle w:val="Heading2"/>
      </w:pPr>
      <w:r>
        <w:t>Geschlechtsangleichende Penisprothetik: Lernkurve und Revisionsergebnisse über 5 Jahre</w:t>
      </w:r>
    </w:p>
    <w:p>
      <w:r>
        <w:rPr>
          <w:i/>
          <w:color w:val="666666"/>
          <w:sz w:val="18"/>
        </w:rPr>
        <w:t>Gobbo A et al.  ·  J Sex Med  ·  14.09.2026  ·  PMID 42801789</w:t>
      </w:r>
    </w:p>
    <w:p>
      <w:r>
        <w:t>Retrospektive Analyse von 473 Patienten mit geschlechtsangleichender Penisprothesenimplantation zur Erfassung der institutionellen Lernkurve und ihrer Auswirkung auf die Ergebnisqualität.</w:t>
      </w:r>
    </w:p>
    <w:p>
      <w:r>
        <w:rPr>
          <w:b/>
        </w:rPr>
        <w:t xml:space="preserve">Ergebnis: </w:t>
      </w:r>
      <w:r>
        <w:t>Die Wahrscheinlichkeit einer Operation aus beliebigem Grund sank von 65,6 % beim ersten Fall auf 32,9 % beim Fall 473; maximale Effizienz wurde bei Fall 311 erreicht. Revisionen wegen Unzufriedenheit traten bei 21,9 % der Patienten auf und sanken von 33,2 % auf 12,8 %, mit maximaler Effizienz bei Fall 261. Kumulative institutionelle Erfahrung war unabhängiger Prädiktor für bessere Ergebnisse (OR = 0,997, p = 0,020). Dies zeigt: Die Versorgungsqualität verbessert sich mit Routine — die biologische Komplexität (Aufbau eines funktionsfähigen Gewebes) wird durch strukturelle Faktoren (Chirurgenerfahrung) bestimmt.</w:t>
      </w:r>
    </w:p>
    <w:p>
      <w:r>
        <w:rPr>
          <w:b/>
          <w:sz w:val="19"/>
        </w:rPr>
        <w:t xml:space="preserve">Übertragbarkeit: </w:t>
      </w:r>
      <w:r>
        <w:rPr>
          <w:sz w:val="19"/>
        </w:rPr>
        <w:t>UK-Daten, ähnliche Ressourcenlage wie deutsches Spezialistensystem</w:t>
      </w:r>
    </w:p>
    <w:p>
      <w:r>
        <w:rPr>
          <w:color w:val="5A7D3A"/>
          <w:sz w:val="18"/>
        </w:rPr>
        <w:t>https://pubmed.ncbi.nlm.nih.gov/42801789/</w:t>
      </w:r>
    </w:p>
    <w:p>
      <w:pPr>
        <w:pStyle w:val="Heading2"/>
      </w:pPr>
      <w:r>
        <w:t>Liaison-Pflegekraft für 2S/LGBTQIA+-Patienten: Strukturelle Intervention für Chancengleichheit</w:t>
      </w:r>
    </w:p>
    <w:p>
      <w:r>
        <w:rPr>
          <w:i/>
          <w:color w:val="666666"/>
          <w:sz w:val="18"/>
        </w:rPr>
        <w:t>Handlovsky I et al.  ·  Nurs Inq  ·  Okt. 2026  ·  PMID 42801724</w:t>
      </w:r>
    </w:p>
    <w:p>
      <w:r>
        <w:t>Qualitative Ethnographie der klinischen Praxis einer Liaison-Pflegekraft für sexuelle und Geschlechterminderheiten in zwei kanadischen Akutkrankenhäusern über 7 Monate.</w:t>
      </w:r>
    </w:p>
    <w:p>
      <w:r>
        <w:rPr>
          <w:b/>
        </w:rPr>
        <w:t xml:space="preserve">Ergebnis: </w:t>
      </w:r>
      <w:r>
        <w:t>Drei zentrale Dimensionen wurden identifiziert: Präsenz (Vertrauensbildung), Fachkompetenz (physiologische und psychosoziale Besonderheiten von 2S/LGBTQIA+-Patienten) und Systemadvokacy (Navigation institutioneller Hemmnisse). Diese Dimensionen ermöglichten bessere Informationen für klinische Entscheidungen und reduzierten strukturelle Barrieren — nachweislich nicht primär biologisch, sondern durch Unterversorgung und Stigma bedingt. Die Liaison-Rolle funktioniert als klinische und Systemintervention, die Chancengleichheit fördert.</w:t>
      </w:r>
    </w:p>
    <w:p>
      <w:r>
        <w:rPr>
          <w:b/>
          <w:sz w:val="19"/>
        </w:rPr>
        <w:t xml:space="preserve">Übertragbarkeit: </w:t>
      </w:r>
      <w:r>
        <w:rPr>
          <w:sz w:val="19"/>
        </w:rPr>
        <w:t>Kanada, ähnliches Modell im deutschsprachigen Raum adaptierbar</w:t>
      </w:r>
    </w:p>
    <w:p>
      <w:r>
        <w:rPr>
          <w:color w:val="5A7D3A"/>
          <w:sz w:val="18"/>
        </w:rPr>
        <w:t>https://pubmed.ncbi.nlm.nih.gov/42801724/</w:t>
      </w:r>
    </w:p>
    <w:p>
      <w:pPr>
        <w:pStyle w:val="Heading2"/>
      </w:pPr>
      <w:r>
        <w:t>Digitale kognitive Verhaltenstherapie für chinesische Männer mit HIV: Kulturelle Anpassung und Machbarkeit</w:t>
      </w:r>
    </w:p>
    <w:p>
      <w:r>
        <w:rPr>
          <w:i/>
          <w:color w:val="666666"/>
          <w:sz w:val="18"/>
        </w:rPr>
        <w:t>Wu W et al.  ·  J Med Internet Res  ·  14.09.2026  ·  PMID 42735073</w:t>
      </w:r>
    </w:p>
    <w:p>
      <w:r>
        <w:t>Drei-Phasen-Nutzer-zentrierte Anpassung einer kognitiven Verhaltenstherapie (ESTEEM) in eine WeChat-Mini-Programm-App für chinesische Männer mit HIV-Erfahrung; Pilotphase mit 10 Patienten und 5 Berater.</w:t>
      </w:r>
    </w:p>
    <w:p>
      <w:r>
        <w:rPr>
          <w:b/>
        </w:rPr>
        <w:t xml:space="preserve">Ergebnis: </w:t>
      </w:r>
      <w:r>
        <w:t>In Phase 1 wurden 3 Themen identifiziert: katastrophisches Denken bei Gesundheitsangst, internalisiertes Stigma (Offenbarungsdilemma) und Scham-Schemata zu Unzulänglichkeit. Im Pilot loggten sich Teilnehmer durchschnittlich 14,1-mal (SD 6,7) ein und absolvierten 134,3 min (SD 103,1) Lernmodule; 90 % ( 9/10) erreichten alle Module. Angststörungen sanken von 8,9 (SD 2,3) auf 7,2 (SD 3,0). Alle Teilnehmer (100 %) zeigten Bereitschaft zur Fortsetzung und Empfehlung. Dies zeigt: Psychische Belastung entsteht nicht aus Biologie (HIV), sondern aus sozialer Stigmatisierung und Schamkognitionen — durch kulturgerechte Intervention reduzierbar.</w:t>
      </w:r>
    </w:p>
    <w:p>
      <w:r>
        <w:rPr>
          <w:b/>
          <w:sz w:val="19"/>
        </w:rPr>
        <w:t xml:space="preserve">Übertragbarkeit: </w:t>
      </w:r>
      <w:r>
        <w:rPr>
          <w:sz w:val="19"/>
        </w:rPr>
        <w:t>China-Pilot, aber Konzept der Stigma-fokussierten Intervention für andere Hochrisikogruppen adaptierbar</w:t>
      </w:r>
    </w:p>
    <w:p>
      <w:r>
        <w:rPr>
          <w:color w:val="5A7D3A"/>
          <w:sz w:val="18"/>
        </w:rPr>
        <w:t>https://pubmed.ncbi.nlm.nih.gov/42735073/</w:t>
      </w:r>
    </w:p>
    <w:p>
      <w:pPr>
        <w:pStyle w:val="Heading2"/>
      </w:pPr>
      <w:r>
        <w:t>Physische Aktivitätsforschung übersieht arme Bevölkerungsgruppen systematisch</w:t>
      </w:r>
    </w:p>
    <w:p>
      <w:r>
        <w:rPr>
          <w:i/>
          <w:color w:val="666666"/>
          <w:sz w:val="18"/>
        </w:rPr>
        <w:t>Stalsberg R  ·  Int J Public Health  ·  28.08.2026  ·  PMID 42729238</w:t>
      </w:r>
    </w:p>
    <w:p>
      <w:r>
        <w:t>Literaturkritik zum Bias in der Bewegungsforschung: Die Fokussierung auf Freizeit-Bewegung ignoriert Alltagsaktivität und unterschätzt Aktivitätsmuster niedriger Sozialschichten systematisch.</w:t>
      </w:r>
    </w:p>
    <w:p>
      <w:r>
        <w:rPr>
          <w:b/>
        </w:rPr>
        <w:t xml:space="preserve">Ergebnis: </w:t>
      </w:r>
      <w:r>
        <w:t>Methodische Verzerrungen (Stichprobenselektion, Messinstrumente) führen zur Unterrepräsentation von Personen mit niedrigem Sozioökonomischen Status. Dies reproduziert Chancenungleichheit: Interventionen, die auf Freizeitverhalten abzielen, verfehlen arbeitsreiche, körperlich fordernde Bevölkerungsgruppen. Der Bias ist nicht biologisch, sondern methodisch und perpetuiert Health Inequities durch fehlerhafte Datenbasis.</w:t>
      </w:r>
    </w:p>
    <w:p>
      <w:r>
        <w:rPr>
          <w:b/>
          <w:sz w:val="19"/>
        </w:rPr>
        <w:t xml:space="preserve">Übertragbarkeit: </w:t>
      </w:r>
      <w:r>
        <w:rPr>
          <w:sz w:val="19"/>
        </w:rPr>
        <w:t>Skandinavien (Autor), aber epistemische Kritik auf deutsches Studiendesign anwendbar</w:t>
      </w:r>
    </w:p>
    <w:p>
      <w:r>
        <w:rPr>
          <w:color w:val="5A7D3A"/>
          <w:sz w:val="18"/>
        </w:rPr>
        <w:t>https://pubmed.ncbi.nlm.nih.gov/42729238/</w:t>
      </w:r>
    </w:p>
    <w:p>
      <w:pPr>
        <w:pStyle w:val="Heading2"/>
      </w:pPr>
      <w:r>
        <w:t>Geschlechtsspezifische Immunität: Sechs ungelöste Fragen für klinische Anwendung</w:t>
      </w:r>
    </w:p>
    <w:p>
      <w:r>
        <w:rPr>
          <w:i/>
          <w:color w:val="666666"/>
          <w:sz w:val="18"/>
        </w:rPr>
        <w:t>Flanagan KL et al.  ·  Front Immunol  ·  26.08.2026  ·  PMID 42718495</w:t>
      </w:r>
    </w:p>
    <w:p>
      <w:r>
        <w:t>Expertenpapier zu mechanistischen Forschungslücken in der Geschlechtsimmunologie, die geklärt werden müssen, bevor biologische Geschlechtsunterschiede klinisch handlungsleitend werden können.</w:t>
      </w:r>
    </w:p>
    <w:p>
      <w:r>
        <w:rPr>
          <w:b/>
        </w:rPr>
        <w:t xml:space="preserve">Ergebnis: </w:t>
      </w:r>
      <w:r>
        <w:t>Sechs identifizierte Grand Challenges: (1) rigide Erfassung geschlechtsspezifischer Immunzellfunktionen über die Lebensspanne; (2) funktionale Rollen X- und Y-gebundener Immungene und X-Inaktivierungs-Escape klären; (3) Rolle von Sexualsteroiden und epigenetischer Regulation abbilden; (4) Auswirkung der bidirektionalen Sex-Mikrobiota-Immunitäts-Achse klären; (5) Geschlecht in experimentellen Modellen als Variable statt Confounder etablieren; (6) mechanistische Einsichten in geschlechtsspezifische Prävention und Behandlung übersetzen. Das Paper zeigt: Ohne diese grundlagenseitigen Klärungen können biologische Unterschiede nicht klinisch sicher genutzt werden — momentan ist die Kausalität ungeklärt.</w:t>
      </w:r>
    </w:p>
    <w:p>
      <w:r>
        <w:rPr>
          <w:b/>
          <w:sz w:val="19"/>
        </w:rPr>
        <w:t xml:space="preserve">Übertragbarkeit: </w:t>
      </w:r>
      <w:r>
        <w:rPr>
          <w:sz w:val="19"/>
        </w:rPr>
        <w:t>Internationale Expertise, unabhängig von Gesundheitssystem gültig</w:t>
      </w:r>
    </w:p>
    <w:p>
      <w:r>
        <w:rPr>
          <w:color w:val="5A7D3A"/>
          <w:sz w:val="18"/>
        </w:rPr>
        <w:t>https://pubmed.ncbi.nlm.nih.gov/42718495/</w:t>
      </w:r>
    </w:p>
    <w:p>
      <w:pPr>
        <w:pStyle w:val="Heading1"/>
      </w:pPr>
      <w:r>
        <w:t>Aufgenommen am 27.09.2026</w:t>
      </w:r>
    </w:p>
    <w:p>
      <w:pPr>
        <w:pStyle w:val="Heading2"/>
      </w:pPr>
      <w:r>
        <w:t>Geschlechtsbilder in der Grundversorgung beeinflussen Behandlungsqualität</w:t>
      </w:r>
    </w:p>
    <w:p>
      <w:r>
        <w:rPr>
          <w:i/>
          <w:color w:val="666666"/>
          <w:sz w:val="18"/>
        </w:rPr>
        <w:t>Bah H et al.  ·  BMC Health Serv Res  ·  04.09.2026  ·  PMID 42791533</w:t>
      </w:r>
    </w:p>
    <w:p>
      <w:r>
        <w:t>Querschnittsuntersuchung der Wahrnehmungen von Gesundheitspersonal zu Geschlecht und Equity in 19 Gesundheitszentren Conakrys (412 Mitarbeiter aus ärztlichem, pflegerischem und technischem Dienst).</w:t>
      </w:r>
    </w:p>
    <w:p>
      <w:r>
        <w:rPr>
          <w:b/>
        </w:rPr>
        <w:t xml:space="preserve">Ergebnis: </w:t>
      </w:r>
      <w:r>
        <w:t>Über 50 % der Mitarbeiter berichteten das Fehlen von Geschlechter-Equity-Richtlinien oder Focal Points; die Mehrheit sah Geschlecht nicht als Einflussfaktor auf Versorgung, Karriere oder Patientenbehandlung an. Allerdings äußerte die starke Mehrheit Unterstützung für gezielt Schulung und Sensibilisierung zu Geschlecht und Equity.</w:t>
      </w:r>
    </w:p>
    <w:p>
      <w:r>
        <w:rPr>
          <w:b/>
          <w:sz w:val="19"/>
        </w:rPr>
        <w:t xml:space="preserve">Übertragbarkeit: </w:t>
      </w:r>
      <w:r>
        <w:rPr>
          <w:sz w:val="19"/>
        </w:rPr>
        <w:t>Guinea, aber zeigt Schulungsbedarfe, die auch in Subsahara-Systemen gelten.</w:t>
      </w:r>
    </w:p>
    <w:p>
      <w:r>
        <w:rPr>
          <w:color w:val="5A7D3A"/>
          <w:sz w:val="18"/>
        </w:rPr>
        <w:t>https://pubmed.ncbi.nlm.nih.gov/42791533/</w:t>
      </w:r>
    </w:p>
    <w:p>
      <w:pPr>
        <w:pStyle w:val="Heading2"/>
      </w:pPr>
      <w:r>
        <w:t>Elternprogramm für Kindsentwicklung in Vietnam: Geschlechts-und Kostenkontrolle</w:t>
      </w:r>
    </w:p>
    <w:p>
      <w:r>
        <w:rPr>
          <w:i/>
          <w:color w:val="666666"/>
          <w:sz w:val="18"/>
        </w:rPr>
        <w:t>Baek Y et al.  ·  BMJ Open  ·  24.09.2026  ·  PMID 42785938</w:t>
      </w:r>
    </w:p>
    <w:p>
      <w:r>
        <w:t>Protokoll einer Follow-up-Studie einer Cluster-RCT (2018–2021) mit 622 Frauen-Kind-Dyaden (Interventionsgruppe) und 546 (Kontrolle) zur Untersuchung mittelfristiger Effekte auf kognitives, sprachliches und motorisches Entwicklungsniveau von Kindern im Alter 7–9 Jahren und maternale psychische Gesundheit.</w:t>
      </w:r>
    </w:p>
    <w:p>
      <w:r>
        <w:rPr>
          <w:b/>
        </w:rPr>
        <w:t xml:space="preserve">Ergebnis: </w:t>
      </w:r>
      <w:r>
        <w:t>Die ursprüngliche RCT zeigte bei 2 Jahren erhöhte kognitive, sprachliche und motorische Entwicklung in der Interventionsgruppe und war kosteneffektiv. Das geplante Follow-up wird die Persistenz dieser Effekte bei älteren Kindern untersuchen, Geschlechtsspezifizität ist ein geplanter Outcomes (Geschlechtsunterschiede in Reaktion auf Intervention werden analysiert).</w:t>
      </w:r>
    </w:p>
    <w:p>
      <w:r>
        <w:rPr>
          <w:b/>
          <w:sz w:val="19"/>
        </w:rPr>
        <w:t xml:space="preserve">Übertragbarkeit: </w:t>
      </w:r>
      <w:r>
        <w:rPr>
          <w:sz w:val="19"/>
        </w:rPr>
        <w:t>Vietnam; Versorgungsmodell müsste auf deutsches System adaptiert werden.</w:t>
      </w:r>
    </w:p>
    <w:p>
      <w:r>
        <w:rPr>
          <w:color w:val="5A7D3A"/>
          <w:sz w:val="18"/>
        </w:rPr>
        <w:t>https://pubmed.ncbi.nlm.nih.gov/42785938/</w:t>
      </w:r>
    </w:p>
    <w:p>
      <w:pPr>
        <w:pStyle w:val="Heading2"/>
      </w:pPr>
      <w:r>
        <w:t>Struktureller Rassismus und Kindersterblichkeit: Systematischer Review</w:t>
      </w:r>
    </w:p>
    <w:p>
      <w:r>
        <w:rPr>
          <w:i/>
          <w:color w:val="666666"/>
          <w:sz w:val="18"/>
        </w:rPr>
        <w:t>Obi C et al.  ·  J Health Care Poor Underserved  ·  2026  ·  PMID 42766502</w:t>
      </w:r>
    </w:p>
    <w:p>
      <w:r>
        <w:t>Systematischer Review (PRISMA-Leitlinie) von 1955–2024 mit 33 eingeschlossenen Studien (alle USA) zur Beziehung zwischen strukturellem Rassismus (sechs Domänen: Einkommen, Bildung, Wohnen, Bügerrechte, Gesundheitswesen, Justiz) und Säuglingssterblichkeitsraten (IMR).</w:t>
      </w:r>
    </w:p>
    <w:p>
      <w:r>
        <w:rPr>
          <w:b/>
        </w:rPr>
        <w:t xml:space="preserve">Ergebnis: </w:t>
      </w:r>
      <w:r>
        <w:t>In allen sechs Domänen zeigte Rassenungleichheit (gemessen als struktureller Rassismus) Assoziation mit höherer Säuglingssterblichkeit bei Schwarzen Kindern; wenig oder kein Effekt auf weiße Säuglingssterblichkeit. Struktureller Rassismus wirkt sich nachteilig auf IMR schwarzer Säuglinge aus.</w:t>
      </w:r>
    </w:p>
    <w:p>
      <w:r>
        <w:rPr>
          <w:b/>
          <w:sz w:val="19"/>
        </w:rPr>
        <w:t xml:space="preserve">Übertragbarkeit: </w:t>
      </w:r>
      <w:r>
        <w:rPr>
          <w:sz w:val="19"/>
        </w:rPr>
        <w:t>USA; Befund zu Rassenungleichheit nicht direkt übertragbar, aber methodisches Vorgehen zur Untersuchung struktureller Determinanten relevant.</w:t>
      </w:r>
    </w:p>
    <w:p>
      <w:r>
        <w:rPr>
          <w:color w:val="5A7D3A"/>
          <w:sz w:val="18"/>
        </w:rPr>
        <w:t>https://pubmed.ncbi.nlm.nih.gov/42766502/</w:t>
      </w:r>
    </w:p>
    <w:p>
      <w:pPr>
        <w:pStyle w:val="Heading2"/>
      </w:pPr>
      <w:r>
        <w:t>Geschlechtsspezifische Unterschiede bei motorischem Lernen unter Hirnstimulation</w:t>
      </w:r>
    </w:p>
    <w:p>
      <w:r>
        <w:rPr>
          <w:i/>
          <w:color w:val="666666"/>
          <w:sz w:val="18"/>
        </w:rPr>
        <w:t>Oldrati V et al.  ·  Neural Plast  ·  2026  ·  PMID 42730484</w:t>
      </w:r>
    </w:p>
    <w:p>
      <w:r>
        <w:t>Kontrollierte experimentelle Studie zu Effekten transkranieller alternierend Stromstimulation (tACS) und transkutaner Vagusnervstimulation (tVNS) auf motorisches Lernen bei 96 gesunden Erwachsenen (24 Frauen pro Gruppe).</w:t>
      </w:r>
    </w:p>
    <w:p>
      <w:r>
        <w:rPr>
          <w:b/>
        </w:rPr>
        <w:t xml:space="preserve">Ergebnis: </w:t>
      </w:r>
      <w:r>
        <w:t>tACS zeigte geschlechtsspezifisch unterschiedliche Effekte: Frauen verbesserten Präzision bei näheren Zielen, Männer bei fernen Zielen (erhebliche Überschneidung). tVNS hatte unterschiedliche Effekte auf Reaktionszeiten: Verlangsamung bei Männern, Beschleunigung bei Frauen. Beide Stimulationsarten zeigten Reaktionszeitverlangsamung (tACS) oder divergente Effekte (tVNS) nach Geschlecht.</w:t>
      </w:r>
    </w:p>
    <w:p>
      <w:r>
        <w:rPr>
          <w:b/>
          <w:sz w:val="19"/>
        </w:rPr>
        <w:t xml:space="preserve">Übertragbarkeit: </w:t>
      </w:r>
      <w:r>
        <w:rPr>
          <w:sz w:val="19"/>
        </w:rPr>
        <w:t>Labor-Setting; zeigt biologische Modulation aber keine klinische Versorgungssituation.</w:t>
      </w:r>
    </w:p>
    <w:p>
      <w:r>
        <w:rPr>
          <w:color w:val="5A7D3A"/>
          <w:sz w:val="18"/>
        </w:rPr>
        <w:t>https://pubmed.ncbi.nlm.nih.gov/42730484/</w:t>
      </w:r>
    </w:p>
    <w:p>
      <w:pPr>
        <w:pStyle w:val="Heading2"/>
      </w:pPr>
      <w:r>
        <w:t>Messinstrumente für Minderheitsstress bei LGBQ-Personen: Systematische Bewertung</w:t>
      </w:r>
    </w:p>
    <w:p>
      <w:r>
        <w:rPr>
          <w:i/>
          <w:color w:val="666666"/>
          <w:sz w:val="18"/>
        </w:rPr>
        <w:t>Misevic-Kallenbach M et al.  ·  Arch Sex Behav  ·  28.08.2026  ·  PMID 42665774</w:t>
      </w:r>
    </w:p>
    <w:p>
      <w:r>
        <w:t>COSMIN-Systematischer Review der psychometrischen Eigenschaften von Instrumenten zur Messung von Minderheitsstress in LGBQ-Populationen; 105 Instrumente gescreent, 8 bewertet.</w:t>
      </w:r>
    </w:p>
    <w:p>
      <w:r>
        <w:rPr>
          <w:b/>
        </w:rPr>
        <w:t xml:space="preserve">Ergebnis: </w:t>
      </w:r>
      <w:r>
        <w:t>Die Lesbian, Gay, and Bisexual Identity Scale (LGBIS) und ihre deutsche Adaptation (LGBIS-DE) zeigten die stärksten psychometrischen Eigenschaften. Jedoch zeigte der Review erhebliche Variabilität in der Konzeptualisierung von Minderheitsstress und unzureichend untersuchte Inhaltsvalidität bei vielen Instrumenten.</w:t>
      </w:r>
    </w:p>
    <w:p>
      <w:r>
        <w:rPr>
          <w:b/>
          <w:sz w:val="19"/>
        </w:rPr>
        <w:t xml:space="preserve">Übertragbarkeit: </w:t>
      </w:r>
      <w:r>
        <w:rPr>
          <w:sz w:val="19"/>
        </w:rPr>
        <w:t>Deutschland - LGBIS-DE verfügbar; Messstandards gelten unabhängig vom System.</w:t>
      </w:r>
    </w:p>
    <w:p>
      <w:r>
        <w:rPr>
          <w:color w:val="5A7D3A"/>
          <w:sz w:val="18"/>
        </w:rPr>
        <w:t>https://pubmed.ncbi.nlm.nih.gov/42665774/</w:t>
      </w:r>
    </w:p>
    <w:p>
      <w:pPr>
        <w:pStyle w:val="Heading2"/>
      </w:pPr>
      <w:r>
        <w:t>Grüne Stadtinfrastruktur reduziert keine bestehenden Gesundheitsungleichgewichte</w:t>
      </w:r>
    </w:p>
    <w:p>
      <w:r>
        <w:rPr>
          <w:i/>
          <w:color w:val="666666"/>
          <w:sz w:val="18"/>
        </w:rPr>
        <w:t>Nguyen D et al.  ·  Soc Sci Med  ·  11.08.2026  ·  PMID 42600356</w:t>
      </w:r>
    </w:p>
    <w:p>
      <w:r>
        <w:t>Kohortenstudie mit Querschnittserhebungen 2010/11, 2017/18 und 2023/24 (je ca. 1000 Erwachsene) zur Messung von Einkommensungleichgewichten bei körperlicher Aktivität, psychischem Wohlbefinden und Lebensqualität vor, während und nach Abschluss einer großen urbanen Grünflächenintervention (Connswater Community Greenway, Belfast).</w:t>
      </w:r>
    </w:p>
    <w:p>
      <w:r>
        <w:rPr>
          <w:b/>
        </w:rPr>
        <w:t xml:space="preserve">Ergebnis: </w:t>
      </w:r>
      <w:r>
        <w:t>Über 15 Jahre breite Zunahme von Einkommensungleichgewichten in allen drei Ergebnisvariablen: Höhere Aktivität, besseres Wohlbefinden und höhere Lebensqualität in Hocheinkommensgruppen (Konzentrationsindizes: PA 0,33; MWB 0,03; QLi 0,09). Die Ungleichgewichte verbreiterten sich während der Bauphase 2010–2017 und blieben nach Abschluss stabil. Langzeiterkrankung und Arbeitslosigkeit erklärten 51–76 % der Ungleichgewichte.</w:t>
      </w:r>
    </w:p>
    <w:p>
      <w:r>
        <w:rPr>
          <w:b/>
          <w:sz w:val="19"/>
        </w:rPr>
        <w:t xml:space="preserve">Übertragbarkeit: </w:t>
      </w:r>
      <w:r>
        <w:rPr>
          <w:sz w:val="19"/>
        </w:rPr>
        <w:t>UK; zeigt Grenzen von Infrastrukturintervention ohne Equity-Fokus, methodisch auf Deutschland übertragbar.</w:t>
      </w:r>
    </w:p>
    <w:p>
      <w:r>
        <w:rPr>
          <w:color w:val="5A7D3A"/>
          <w:sz w:val="18"/>
        </w:rPr>
        <w:t>https://pubmed.ncbi.nlm.nih.gov/42600356/</w:t>
      </w:r>
    </w:p>
    <w:p>
      <w:pPr>
        <w:pStyle w:val="Heading1"/>
      </w:pPr>
      <w:r>
        <w:t>Aufgenommen am 26.09.2026</w:t>
      </w:r>
    </w:p>
    <w:p>
      <w:pPr>
        <w:pStyle w:val="Heading2"/>
      </w:pPr>
      <w:r>
        <w:t>Geschlechtsunterschiede bei Hochkonsum-Alkohol: Frauen 18–25 Jahre nähern sich Männern an</w:t>
      </w:r>
    </w:p>
    <w:p>
      <w:r>
        <w:rPr>
          <w:i/>
          <w:color w:val="666666"/>
          <w:sz w:val="18"/>
        </w:rPr>
        <w:t>Hobin E et al.  ·  Health Promot Chronic Dis Prev Can  ·  Sept. 2026  ·  PMID 42788895</w:t>
      </w:r>
    </w:p>
    <w:p>
      <w:r>
        <w:t>Wiederholte Querschnittsanalyse der Canadian Community Health Survey zu Geschlechtsunterschieden bei Heavy Episodic Drinking (HED) 2017–2019 und 2022–2023.</w:t>
      </w:r>
    </w:p>
    <w:p>
      <w:r>
        <w:rPr>
          <w:b/>
        </w:rPr>
        <w:t xml:space="preserve">Ergebnis: </w:t>
      </w:r>
      <w:r>
        <w:t>Gesamt-HED stabil bei ~20 %. Männer hatten insgesamt höhere Prävalenz, aber Unterschiede verengten sich 2022–2023. Bei 18–25-Jährigen: Frauen 27,9 % vs. Männer 24,2 % in 2022–2023 (Differenz −3,7 %, 95%-KI: −9,4 bis 1,9; Konfidenzintervall umfasst Null). Konvergenz besonders bei jungen Erwachsenen.</w:t>
      </w:r>
    </w:p>
    <w:p>
      <w:r>
        <w:rPr>
          <w:b/>
          <w:sz w:val="19"/>
        </w:rPr>
        <w:t xml:space="preserve">Übertragbarkeit: </w:t>
      </w:r>
      <w:r>
        <w:rPr>
          <w:sz w:val="19"/>
        </w:rPr>
        <w:t>Kanada, ähnliche Sozialversicherung; biologisches Risiko (tiefere Toxidität bei Frauen) bekannt, Verhalten ändert sich.</w:t>
      </w:r>
    </w:p>
    <w:p>
      <w:r>
        <w:rPr>
          <w:color w:val="5A7D3A"/>
          <w:sz w:val="18"/>
        </w:rPr>
        <w:t>https://pubmed.ncbi.nlm.nih.gov/42788895/</w:t>
      </w:r>
    </w:p>
    <w:p>
      <w:pPr>
        <w:pStyle w:val="Heading2"/>
      </w:pPr>
      <w:r>
        <w:t>Mütterliche Gesundheit in Nigeria: Digitale Geräte wirken nicht linear auf Inanspruchnahme</w:t>
      </w:r>
    </w:p>
    <w:p>
      <w:r>
        <w:rPr>
          <w:i/>
          <w:color w:val="666666"/>
          <w:sz w:val="18"/>
        </w:rPr>
        <w:t>Oladosun M et al.  ·  Cad Saude Publica  ·  18.09.2026  ·  PMID 42788563</w:t>
      </w:r>
    </w:p>
    <w:p>
      <w:r>
        <w:t>Querschnittanalyse von 28.888 verheirateten Frauen aus Nigeria Demographic and Health Survey 2018 zu Determinanten von Schwangerenvorsorge und Geburtsort.</w:t>
      </w:r>
    </w:p>
    <w:p>
      <w:r>
        <w:rPr>
          <w:b/>
        </w:rPr>
        <w:t xml:space="preserve">Ergebnis: </w:t>
      </w:r>
      <w:r>
        <w:t>Prävalenz ≥6 Vorsorgebesuche 25 %, Klinikengeburt 28,7 %. Mobiltelefon-Besitz positiv assoziiert (OR 1,29 für Vorsorge, OR 1,36 für Klinikgeburt). Internet-Nutzung positiv mit Vorsorge, häufige Internet-Nutzung aber negativ (−). Mobile-Payment negativ mit Klinikgeburt. Bildet komplexes Zusammenspiel von Ungleichheit und digitaler Infrastruktur, nicht linear.</w:t>
      </w:r>
    </w:p>
    <w:p>
      <w:r>
        <w:rPr>
          <w:b/>
          <w:sz w:val="19"/>
        </w:rPr>
        <w:t xml:space="preserve">Übertragbarkeit: </w:t>
      </w:r>
      <w:r>
        <w:rPr>
          <w:sz w:val="19"/>
        </w:rPr>
        <w:t>Nigeria; zeigt: Digitalisierung ist kein allein-Versorgungshebel, sondern überlagert strukturelle Ungleichheit – für Deutschland relevant bei Tele-Medizin-Planung.</w:t>
      </w:r>
    </w:p>
    <w:p>
      <w:r>
        <w:rPr>
          <w:color w:val="5A7D3A"/>
          <w:sz w:val="18"/>
        </w:rPr>
        <w:t>https://pubmed.ncbi.nlm.nih.gov/42788563/</w:t>
      </w:r>
    </w:p>
    <w:p>
      <w:pPr>
        <w:pStyle w:val="Heading2"/>
      </w:pPr>
      <w:r>
        <w:t>Frauen im Gesundheitswesen: Führungsquoten als Hebel für Versorgungsqualität</w:t>
      </w:r>
    </w:p>
    <w:p>
      <w:r>
        <w:rPr>
          <w:i/>
          <w:color w:val="666666"/>
          <w:sz w:val="18"/>
        </w:rPr>
        <w:t>Garth B et al.  ·  Med J Aust  ·  Sept. 2026  ·  PMID 42788226</w:t>
      </w:r>
    </w:p>
    <w:p>
      <w:r>
        <w:t>Konzeptpapier zu Australiens neuen Geschlechtergleichstellungszielen für große Arbeitgeber und deren Umsetzung in Gesundheitsdiensten.</w:t>
      </w:r>
    </w:p>
    <w:p>
      <w:r>
        <w:rPr>
          <w:b/>
        </w:rPr>
        <w:t xml:space="preserve">Ergebnis: </w:t>
      </w:r>
      <w:r>
        <w:t>Frauen stellen Mehrheit der australischen Gesundheitsfachkräfte, sind aber in Führungspositionen unterrepräsentiert. Bindende Zielquoten schaffen institutionelle Verantwortung. Maturity Matrix als Werkzeug zur Verankerung in Governance und Klinischer Rechenschaftspflicht. Gute Umsetzung fördert Personalbindung und bessere Patientenversorgung.</w:t>
      </w:r>
    </w:p>
    <w:p>
      <w:r>
        <w:rPr>
          <w:b/>
          <w:sz w:val="19"/>
        </w:rPr>
        <w:t xml:space="preserve">Übertragbarkeit: </w:t>
      </w:r>
      <w:r>
        <w:rPr>
          <w:sz w:val="19"/>
        </w:rPr>
        <w:t>Australien; Struktur: weniger direkt auf Deutschland übertragbar (andere Führungskultur), aber Mechanismus (Zielquoten → Systemveränderung) prüfenswert.</w:t>
      </w:r>
    </w:p>
    <w:p>
      <w:r>
        <w:rPr>
          <w:color w:val="5A7D3A"/>
          <w:sz w:val="18"/>
        </w:rPr>
        <w:t>https://pubmed.ncbi.nlm.nih.gov/42788226/</w:t>
      </w:r>
    </w:p>
    <w:p>
      <w:pPr>
        <w:pStyle w:val="Heading2"/>
      </w:pPr>
      <w:r>
        <w:t>Geschlechterunterschied bei Appetite-Suppressiva: 15-fach höhere Dosis für Frauen in Südkorea</w:t>
      </w:r>
    </w:p>
    <w:p>
      <w:r>
        <w:rPr>
          <w:i/>
          <w:color w:val="666666"/>
          <w:sz w:val="18"/>
        </w:rPr>
        <w:t>Kim JH et al.  ·  Pharmacoepidemiol Drug Saf  ·  Okt. 2026  ·  PMID 42788194</w:t>
      </w:r>
    </w:p>
    <w:p>
      <w:r>
        <w:t>Analyse der Narkotica-Datenbank Südkoreas 2019–2023 zur Nutzung von kontrollierten Substanzen außerhalb der Krankenversicherung.</w:t>
      </w:r>
    </w:p>
    <w:p>
      <w:r>
        <w:rPr>
          <w:b/>
        </w:rPr>
        <w:t xml:space="preserve">Ergebnis: </w:t>
      </w:r>
      <w:r>
        <w:t>Frauen (Durchschnittsalter 30–49 Jahre) erhielten an Primärkliniken ca. 440 geschätzte Dispensierungseinheiten pro 1000 Frauen/Monat für Anorexigenanzien – etwa 15-mal höher als Männer. Muster deutet auf Off-Label-Verschreibung zu kosmetischen Zwecken hin. ADHD-Medikamente zeigten umgekehrtes Muster mit männlichem Übergewicht, besonders bei Adoleszenten (10–19 Jahre).</w:t>
      </w:r>
    </w:p>
    <w:p>
      <w:r>
        <w:rPr>
          <w:b/>
          <w:sz w:val="19"/>
        </w:rPr>
        <w:t xml:space="preserve">Übertragbarkeit: </w:t>
      </w:r>
      <w:r>
        <w:rPr>
          <w:sz w:val="19"/>
        </w:rPr>
        <w:t>Südkorea, Pharmakovigilanz außerhalb Versicherung; Deutschland: Daten zu Reimbursement-Lücke fehlen.</w:t>
      </w:r>
    </w:p>
    <w:p>
      <w:r>
        <w:rPr>
          <w:color w:val="5A7D3A"/>
          <w:sz w:val="18"/>
        </w:rPr>
        <w:t>https://pubmed.ncbi.nlm.nih.gov/42788194/</w:t>
      </w:r>
    </w:p>
    <w:p>
      <w:pPr>
        <w:pStyle w:val="Heading2"/>
      </w:pPr>
      <w:r>
        <w:t>Frauen bauen Nähe durch neuronale Synchronisation auf, Männer nicht – fNIRS-Befund</w:t>
      </w:r>
    </w:p>
    <w:p>
      <w:r>
        <w:rPr>
          <w:i/>
          <w:color w:val="666666"/>
          <w:sz w:val="18"/>
        </w:rPr>
        <w:t>Li Y et al.  ·  BMC Psychol  ·  10.08.2026  ·  PMID 42768383</w:t>
      </w:r>
    </w:p>
    <w:p>
      <w:r>
        <w:t>Hyperscanning-Studie mit fNIRS: 32 weibliche und 30 männliche Dyaden von Fremden in gestuftem Selbstoffenbarungsparadigma (oberflächlich bis tiefe Intimität).</w:t>
      </w:r>
    </w:p>
    <w:p>
      <w:r>
        <w:rPr>
          <w:b/>
        </w:rPr>
        <w:t xml:space="preserve">Ergebnis: </w:t>
      </w:r>
      <w:r>
        <w:t>Bei tiefem gegenseitigem Austausch: signifikante Erhöhung interpersoneller neuronaler Synchronisation (INS) DLPFC-TPJ. Geschlecht moderiert Beziehung INS ↔ Nähe (β=−0,386, p-FDR=0,025). Weibliche Dyaden: INS mediiert Selbstoffenbarung→Nähe (indirekter Effekt 0,03); männliche Dyaden: kein Mediationseffekt. Beziehungsaufbau bei Frauen stärker auf emotionaler Expressivität und INS gestützt.</w:t>
      </w:r>
    </w:p>
    <w:p>
      <w:r>
        <w:rPr>
          <w:b/>
          <w:sz w:val="19"/>
        </w:rPr>
        <w:t xml:space="preserve">Übertragbarkeit: </w:t>
      </w:r>
      <w:r>
        <w:rPr>
          <w:sz w:val="19"/>
        </w:rPr>
        <w:t>China (Macau); Grundlagenbefund; Übertragung auf Versorgung würde voraussetzen, dass therapeutische Beziehung als kritischer Ausgang gilt – gilt in Psychotherapie/Psychiatrie, nicht allgemeine Medizin.</w:t>
      </w:r>
    </w:p>
    <w:p>
      <w:r>
        <w:rPr>
          <w:color w:val="5A7D3A"/>
          <w:sz w:val="18"/>
        </w:rPr>
        <w:t>https://pubmed.ncbi.nlm.nih.gov/42768383/</w:t>
      </w:r>
    </w:p>
    <w:p>
      <w:pPr>
        <w:pStyle w:val="Heading2"/>
      </w:pPr>
      <w:r>
        <w:t>PrEP-Nutzung reduziert Depression bei schwulen Männern und trans Frauen in Thailand</w:t>
      </w:r>
    </w:p>
    <w:p>
      <w:r>
        <w:rPr>
          <w:i/>
          <w:color w:val="666666"/>
          <w:sz w:val="18"/>
        </w:rPr>
        <w:t>Lynn KS et al.  ·  F1000Res  ·  15.09.2026  ·  PMID 42760901</w:t>
      </w:r>
    </w:p>
    <w:p>
      <w:r>
        <w:t>Querschnittstudie bei 150 MSM und Transgender Frauen (75 PrEP-Nutzer, 75 nicht) in zwei HIV-Präventionskliniken Chiang Mai; Depressionswerte (PHQ-9) und Suizidalität (C-SSRS).</w:t>
      </w:r>
    </w:p>
    <w:p>
      <w:r>
        <w:rPr>
          <w:b/>
        </w:rPr>
        <w:t xml:space="preserve">Ergebnis: </w:t>
      </w:r>
      <w:r>
        <w:t>PrEP-Nutzer: Depression MW 3,80±3,46 vs. Nicht-Nutzer 5,96±3,76 (Differenz −2,16, 95%-KI: −0,99 bis −3,33; p&lt;0,001). Suizidalität: 6,7 % (PrEP) vs. 4,0 % (Kontrolle), kein signifikanter Unterschied (p=0,719). In adjustiertes Modell: PrEP unabhängig mit niedrigerer Depression assoziiert (B=−1,77, 95%-KI: −3,07 bis −0,47; p=0,008). Diskriminierungserlebnis positiv mit höherer Depression assoziiert (B=−1,32).</w:t>
      </w:r>
    </w:p>
    <w:p>
      <w:r>
        <w:rPr>
          <w:b/>
          <w:sz w:val="19"/>
        </w:rPr>
        <w:t xml:space="preserve">Übertragbarkeit: </w:t>
      </w:r>
      <w:r>
        <w:rPr>
          <w:sz w:val="19"/>
        </w:rPr>
        <w:t>Thailand; zeigt Versorgungszugang (PrEP) reduziert Minderheitenstress – Aussage zu Zugang/Stigma, nicht Biologie; Übertragbarkeit auf Deutschland abhängig von PrEP-Verfügbarkeit und Stigmaklima.</w:t>
      </w:r>
    </w:p>
    <w:p>
      <w:r>
        <w:rPr>
          <w:color w:val="5A7D3A"/>
          <w:sz w:val="18"/>
        </w:rPr>
        <w:t>https://pubmed.ncbi.nlm.nih.gov/42760901/</w:t>
      </w:r>
    </w:p>
    <w:p>
      <w:pPr>
        <w:pStyle w:val="Heading1"/>
      </w:pPr>
      <w:r>
        <w:t>Aufgenommen am 25.09.2026</w:t>
      </w:r>
    </w:p>
    <w:p>
      <w:pPr>
        <w:pStyle w:val="Heading2"/>
      </w:pPr>
      <w:r>
        <w:t>Demenziadiagnosen und Sterblichkeit bei Typ-2-Diabetes-Patienten: Spanische Routinedaten zeigen Geschlechtsmuster</w:t>
      </w:r>
    </w:p>
    <w:p>
      <w:r>
        <w:rPr>
          <w:i/>
          <w:color w:val="666666"/>
          <w:sz w:val="18"/>
        </w:rPr>
        <w:t>Cuadrado-Corrales N et al.  ·  PLoS One  ·  24.09.2026  ·  PMID 42784648</w:t>
      </w:r>
    </w:p>
    <w:p>
      <w:r>
        <w:t>Retrospektive Analyse von 2,79 Millionen Krankenhausaufnahmen mit Typ-2-Diabetes (2021-2024) aus der Spanischen Nationalen Entlassungsdatenbank zur Untersuchung von Geschlechtsunterschieden in Demenzhäufigkeit und Kliniksterblichkeit.</w:t>
      </w:r>
    </w:p>
    <w:p>
      <w:r>
        <w:rPr>
          <w:b/>
        </w:rPr>
        <w:t xml:space="preserve">Ergebnis: </w:t>
      </w:r>
      <w:r>
        <w:t>Frauen hatten einen höheren Anteil an Demenzkodierungen (6,48 % aller T2DM-Aufnahmen); bei Aufnahmen mit Demenz zeigten Frauen eine niedrigere adjustierte Odds Ratio für Kliniksterblichkeit als Männer. Alzheimer-Demenz betraf 2,88 % mit 16,3 % Kliniksterblichkeit. Vaskuläre Demenz war mit Prior-Schlag/TIA stark assoziiert (aOR 5,89; 95%-KI 5,69–6,09). Administrative Daten ermöglichen keine Kausalaussage, zeigen aber ein Geschlechtsmuster in Prognose.</w:t>
      </w:r>
    </w:p>
    <w:p>
      <w:r>
        <w:rPr>
          <w:b/>
          <w:sz w:val="19"/>
        </w:rPr>
        <w:t xml:space="preserve">Übertragbarkeit: </w:t>
      </w:r>
      <w:r>
        <w:rPr>
          <w:sz w:val="19"/>
        </w:rPr>
        <w:t>Spanien, nationale Routinedaten mit Geschlechtertrennung, europäischer Kontext.</w:t>
      </w:r>
    </w:p>
    <w:p>
      <w:r>
        <w:rPr>
          <w:color w:val="5A7D3A"/>
          <w:sz w:val="18"/>
        </w:rPr>
        <w:t>https://pubmed.ncbi.nlm.nih.gov/42784648/</w:t>
      </w:r>
    </w:p>
    <w:p>
      <w:pPr>
        <w:pStyle w:val="Heading2"/>
      </w:pPr>
      <w:r>
        <w:t>Tabakkonsum und Suchtkomorbidität bei Minderheiten: Versorgungsungleichheiten in den USA</w:t>
      </w:r>
    </w:p>
    <w:p>
      <w:r>
        <w:rPr>
          <w:i/>
          <w:color w:val="666666"/>
          <w:sz w:val="18"/>
        </w:rPr>
        <w:t>Higgins ST  ·  Prev Med  ·  25.10.2025  ·  PMID 42777124</w:t>
      </w:r>
    </w:p>
    <w:p>
      <w:r>
        <w:t>Überblicksartikel über 13 Fachantikel zum Schwerpunkt Schnittmengen von Tabakkonsum mit anderen Süchten, chronischen Erkrankungen und Gesundheitsdispositionen sowie Interventionen zur Reduktion.</w:t>
      </w:r>
    </w:p>
    <w:p>
      <w:r>
        <w:rPr>
          <w:b/>
        </w:rPr>
        <w:t xml:space="preserve">Ergebnis: </w:t>
      </w:r>
      <w:r>
        <w:t>Das Spezialthema dokumentiert die disproportionale Auswirkung des Rauchens auf vulnerable Bevölkerungsgruppen, Schnittmengen mit anderen Suchterkrankungen, chronischen Erkrankungen und Gesundheitsdispositionen sowie klinische und regulatorische Interventionen zur Reduktion und Minderung ungünstiger Gesundheitseffekte. Rauchen verursacht etwa 450.000 Todesfälle jährlich in den USA.</w:t>
      </w:r>
    </w:p>
    <w:p>
      <w:r>
        <w:rPr>
          <w:b/>
          <w:sz w:val="19"/>
        </w:rPr>
        <w:t xml:space="preserve">Übertragbarkeit: </w:t>
      </w:r>
      <w:r>
        <w:rPr>
          <w:sz w:val="19"/>
        </w:rPr>
        <w:t>USA-Fokus, Methodenüberblick zu Health-Disparities-Forschung, begrenzte direkte Übertragbarkeit.</w:t>
      </w:r>
    </w:p>
    <w:p>
      <w:r>
        <w:rPr>
          <w:color w:val="5A7D3A"/>
          <w:sz w:val="18"/>
        </w:rPr>
        <w:t>https://pubmed.ncbi.nlm.nih.gov/42777124/</w:t>
      </w:r>
    </w:p>
    <w:p>
      <w:pPr>
        <w:pStyle w:val="Heading2"/>
      </w:pPr>
      <w:r>
        <w:t>Instagram-Content zu Frauengesundheit ist von Interessenskonflikten und Werbekommunikation dominiert</w:t>
      </w:r>
    </w:p>
    <w:p>
      <w:r>
        <w:rPr>
          <w:i/>
          <w:color w:val="666666"/>
          <w:sz w:val="18"/>
        </w:rPr>
        <w:t>Nickel B et al.  ·  Health Promot Int  ·  01.09.2026  ·  PMID 42773967</w:t>
      </w:r>
    </w:p>
    <w:p>
      <w:r>
        <w:t>Inhaltsanalyse von 472 Instagram-Posts mit dem Hashtag #womenshealth zur Untersuchung von Gesundheitsinformationen, Interessenskonflikten und wissenschaftlichen Belegen.</w:t>
      </w:r>
    </w:p>
    <w:p>
      <w:r>
        <w:rPr>
          <w:b/>
        </w:rPr>
        <w:t xml:space="preserve">Ergebnis: </w:t>
      </w:r>
      <w:r>
        <w:t>Von 472 Posts wurden 63 % von Einzelpersonen erstellt (162 von anderen/alternativen Gesundheitsfachleuten, 105 von Medizinern). 56 % richteten sich auf allgemeine Gesundheitsinformationen, 16 % warben für Medikamente/Supplements. Hormonale und Reproduktionsgesundheit war Thema in 48 % (58 Posts zu Menopause/Perimenopause). 69 % stellten explizite Gesundheitsaussagen dar, aber nur 7 % bezogen sich auf wissenschaftliche Evidenz. 51 % der Account-Inhaber hatten klare finanzielle Interessen, 39 % der Posts verkauften direkt ein Produkt. Das zeigt ein von Non-Experten und kommerzieller Ausrichtung dominiertes Umfeld.</w:t>
      </w:r>
    </w:p>
    <w:p>
      <w:r>
        <w:rPr>
          <w:b/>
          <w:sz w:val="19"/>
        </w:rPr>
        <w:t xml:space="preserve">Übertragbarkeit: </w:t>
      </w:r>
      <w:r>
        <w:rPr>
          <w:sz w:val="19"/>
        </w:rPr>
        <w:t>Medienanalyse mit Relevanz für deutschsprachige Länder, regulatorische Implikationen.</w:t>
      </w:r>
    </w:p>
    <w:p>
      <w:r>
        <w:rPr>
          <w:color w:val="5A7D3A"/>
          <w:sz w:val="18"/>
        </w:rPr>
        <w:t>https://pubmed.ncbi.nlm.nih.gov/42773967/</w:t>
      </w:r>
    </w:p>
    <w:p>
      <w:pPr>
        <w:pStyle w:val="Heading2"/>
      </w:pPr>
      <w:r>
        <w:t>Gerechtigkeitsintervention für schwarze Männer mit niedriger Einkommen: sozialökologische Barrieren identifiziert</w:t>
      </w:r>
    </w:p>
    <w:p>
      <w:r>
        <w:rPr>
          <w:i/>
          <w:color w:val="666666"/>
          <w:sz w:val="18"/>
        </w:rPr>
        <w:t>Marshall SA et al.  ·  PLoS One  ·  22.09.2026  ·  PMID 42771574</w:t>
      </w:r>
    </w:p>
    <w:p>
      <w:r>
        <w:t>Qualitative Studie mit 31 Stakeholdern (einschließlich Angehöriger der Zielgruppe) in den USA zur Analyse von Faktoren für erfolgreiche Interventionen zur Verbesserung der Gesundheit schwarzer Männer mit chronischen Erkrankungen und niedrigen Einkommen.</w:t>
      </w:r>
    </w:p>
    <w:p>
      <w:r>
        <w:rPr>
          <w:b/>
        </w:rPr>
        <w:t xml:space="preserve">Ergebnis: </w:t>
      </w:r>
      <w:r>
        <w:t>Folgende Themenbereiche wurden identifiziert: (1) Zielgruppe verzögert Gesundheitsversorgung, (2) Beziehungen sind durch Inhaftierung oder Armut belastet, (3) Gefängnisgesundheits- und Gesundheitssysteme sind nicht hilfreich strukturiert, (4) viele Barrieren innerhalb der Gemeinschaft, (5) Rassismus und Armut sind verflechtete, verankerte Versorgungsbarrieren. Gerechtigkeitsinterventionen müssen Faktoren auf individueller, zwischenmenschlicher, gemeinschaftlicher und institutioneller Ebene adressieren.</w:t>
      </w:r>
    </w:p>
    <w:p>
      <w:r>
        <w:rPr>
          <w:b/>
          <w:sz w:val="19"/>
        </w:rPr>
        <w:t xml:space="preserve">Übertragbarkeit: </w:t>
      </w:r>
      <w:r>
        <w:rPr>
          <w:sz w:val="19"/>
        </w:rPr>
        <w:t>USA mit struktureller Rassismuskomponente, begrenzte Übertragbarkeit auf deutsches System, aber Methodenrelevanz für Equity-Forschung.</w:t>
      </w:r>
    </w:p>
    <w:p>
      <w:r>
        <w:rPr>
          <w:color w:val="5A7D3A"/>
          <w:sz w:val="18"/>
        </w:rPr>
        <w:t>https://pubmed.ncbi.nlm.nih.gov/42771574/</w:t>
      </w:r>
    </w:p>
    <w:p>
      <w:pPr>
        <w:pStyle w:val="Heading2"/>
      </w:pPr>
      <w:r>
        <w:t>Sexuelle Gewalt-Prävention: Frauen und bisexuelle Personen zeigen niedrigere sexuelle Koercion</w:t>
      </w:r>
    </w:p>
    <w:p>
      <w:r>
        <w:rPr>
          <w:i/>
          <w:color w:val="666666"/>
          <w:sz w:val="18"/>
        </w:rPr>
        <w:t>Hidalgo-Muñoz AR et al.  ·  Arch Sex Behav  ·  08.09.2026  ·  PMID 42711548</w:t>
      </w:r>
    </w:p>
    <w:p>
      <w:r>
        <w:t>Validierungsstudie der spanischen Version der Process-Based Consent Scale (PBCS) mit 726 Teilnehmern (505 Frauen, 209 Männer, 7 nonbinär) unterschiedlicher sexueller Orientierungen zur Analyse von Geschlechts- und Orientierungsunterschieden in sexueller Zustimmung und Koercion.</w:t>
      </w:r>
    </w:p>
    <w:p>
      <w:r>
        <w:rPr>
          <w:b/>
        </w:rPr>
        <w:t xml:space="preserve">Ergebnis: </w:t>
      </w:r>
      <w:r>
        <w:t>Geschlechtsunterschiede zeigten sich in zwei von drei PBCS-Faktoren. Nach sexueller Orientierung gab es Unterschiede mit weniger sexueller Koercion durch bisexuelle Frauen. Die spanische PBCS ist ein zuverlässiges Messinstrument für die spanische Population und könnte zur Prävention und Intervention bei sexueller Gewalt beitragen, die auf individuelle Unterschiede zugeschnitten ist.</w:t>
      </w:r>
    </w:p>
    <w:p>
      <w:r>
        <w:rPr>
          <w:b/>
          <w:sz w:val="19"/>
        </w:rPr>
        <w:t xml:space="preserve">Übertragbarkeit: </w:t>
      </w:r>
      <w:r>
        <w:rPr>
          <w:sz w:val="19"/>
        </w:rPr>
        <w:t>Spanien, europäischer Kontext, Validierungsstudium mit klinischer Anwendung.</w:t>
      </w:r>
    </w:p>
    <w:p>
      <w:r>
        <w:rPr>
          <w:color w:val="5A7D3A"/>
          <w:sz w:val="18"/>
        </w:rPr>
        <w:t>https://pubmed.ncbi.nlm.nih.gov/42711548/</w:t>
      </w:r>
    </w:p>
    <w:p>
      <w:pPr>
        <w:pStyle w:val="Heading2"/>
      </w:pPr>
      <w:r>
        <w:t>Diskriminierungserfahrungen beeinträchtigen Vertrauen und Versorgungszugang bei sexuellen und Geschlechtsminderheiten in Spanien</w:t>
      </w:r>
    </w:p>
    <w:p>
      <w:r>
        <w:rPr>
          <w:i/>
          <w:color w:val="666666"/>
          <w:sz w:val="18"/>
        </w:rPr>
        <w:t>Miranda-Tena A et al.  ·  Arch Sex Behav  ·  03.09.2026  ·  PMID 42690247</w:t>
      </w:r>
    </w:p>
    <w:p>
      <w:r>
        <w:t>Querschnittstudie mit 217 Teilnehmern (144 cisgender heterosexuell, 73 sexuelle/Geschlechtsminderheiten) in Spanien zu Diskriminierungserfahrungen im Gesundheitswesen, Vertrauen in Anbieter und Versorgungszugang.</w:t>
      </w:r>
    </w:p>
    <w:p>
      <w:r>
        <w:rPr>
          <w:b/>
        </w:rPr>
        <w:t xml:space="preserve">Ergebnis: </w:t>
      </w:r>
      <w:r>
        <w:t>Sexuelle und Geschlechtsminderheiten berichteten höheres wahrgenommenes Diskriminierungserleben, größere psychische Belastung, niedrigeres Vertrauen in Anbieter und mehr Verzögerungen bei der Inanspruchnahme von Versorgung als cisgender heterosexuelle Teilnehmer. Qualitative Analysen zeigten, dass Diskriminierung (Misgendering, medizinischer Paternalismus, moralische Verurteilung) im klinischen Alltag erlebt wurde und mit Identitätsverheimlichung und Vertrauenserosion verbunden war. Universal Health Coverage ist ohne affirmativer, kulturell kompetenter Versorgung unzureichend.</w:t>
      </w:r>
    </w:p>
    <w:p>
      <w:r>
        <w:rPr>
          <w:b/>
          <w:sz w:val="19"/>
        </w:rPr>
        <w:t xml:space="preserve">Übertragbarkeit: </w:t>
      </w:r>
      <w:r>
        <w:rPr>
          <w:sz w:val="19"/>
        </w:rPr>
        <w:t>Spanien, europäisches Versicherungssystem, qualitative und quantitative Daten zu Zugangsbarrieren.</w:t>
      </w:r>
    </w:p>
    <w:p>
      <w:r>
        <w:rPr>
          <w:color w:val="5A7D3A"/>
          <w:sz w:val="18"/>
        </w:rPr>
        <w:t>https://pubmed.ncbi.nlm.nih.gov/42690247/</w:t>
      </w:r>
    </w:p>
    <w:p>
      <w:pPr>
        <w:pStyle w:val="Heading1"/>
      </w:pPr>
      <w:r>
        <w:t>Aufgenommen am 24.09.2026</w:t>
      </w:r>
    </w:p>
    <w:p>
      <w:pPr>
        <w:pStyle w:val="Heading2"/>
      </w:pPr>
      <w:r>
        <w:t>Englischkenntnisse und Gesundheitsergebnisse: Routinedaten zeigen höhere Krankheitslast bei schlechteren Sprachkenntnissen</w:t>
      </w:r>
    </w:p>
    <w:p>
      <w:r>
        <w:rPr>
          <w:i/>
          <w:color w:val="666666"/>
          <w:sz w:val="18"/>
        </w:rPr>
        <w:t>Yeoh S et al.  ·  PLoS One  ·  19.08.2026  ·  PMID 42616717</w:t>
      </w:r>
    </w:p>
    <w:p>
      <w:r>
        <w:t>Populationsbasierte Studie zur Assoziation zwischen Englischproficiency und Gesundheitsstatus sowie Inanspruchnahme von Primär- und Sekundärversorgung in England.</w:t>
      </w:r>
    </w:p>
    <w:p>
      <w:r>
        <w:rPr>
          <w:b/>
        </w:rPr>
        <w:t xml:space="preserve">Ergebnis: </w:t>
      </w:r>
      <w:r>
        <w:t>Patienten mit geringen Englischkenntnissen zeigten höhere altersadaptierte Prävalenzen von kardiometabolischen Erkrankungen sowie signifikant höhere Inanspruchnahme von Primär- und Sekundärvergung. Dies deutet auf strukturelle Barrieren beim Zugang hin, nicht auf biologische Unterschiede.</w:t>
      </w:r>
    </w:p>
    <w:p>
      <w:r>
        <w:rPr>
          <w:b/>
          <w:sz w:val="19"/>
        </w:rPr>
        <w:t xml:space="preserve">Übertragbarkeit: </w:t>
      </w:r>
      <w:r>
        <w:rPr>
          <w:sz w:val="19"/>
        </w:rPr>
        <w:t>Großbritannien; vergleichbares System; Datenqualität ähnlich deutschen Abrechnungsdaten</w:t>
      </w:r>
    </w:p>
    <w:p>
      <w:r>
        <w:rPr>
          <w:color w:val="5A7D3A"/>
          <w:sz w:val="18"/>
        </w:rPr>
        <w:t>https://pubmed.ncbi.nlm.nih.gov/42616717/</w:t>
      </w:r>
    </w:p>
    <w:p>
      <w:pPr>
        <w:pStyle w:val="Heading1"/>
      </w:pPr>
      <w:r>
        <w:t>Aufgenommen am 23.09.2026</w:t>
      </w:r>
    </w:p>
    <w:p>
      <w:pPr>
        <w:pStyle w:val="Heading2"/>
      </w:pPr>
      <w:r>
        <w:t>Geschlechtsspezifische Atemmuskelkraft-Grenzwerte älterer Frauen</w:t>
      </w:r>
    </w:p>
    <w:p>
      <w:r>
        <w:rPr>
          <w:i/>
          <w:color w:val="666666"/>
          <w:sz w:val="18"/>
        </w:rPr>
        <w:t>Park TS et al.  ·  J Korean Med Sci  ·  21.09.2026  ·  PMID 42773075</w:t>
      </w:r>
    </w:p>
    <w:p>
      <w:r>
        <w:t>Querschnittstudie mit 88 älteren Frauen (≥65 Jahre), um geschlechtsspezifische Cut-off-Werte für maximalen inspiratorischen und exspiratorischen Druck als Screening-Tool für Atemmuskel-Sarcopenie zu etablieren.</w:t>
      </w:r>
    </w:p>
    <w:p>
      <w:r>
        <w:rPr>
          <w:b/>
        </w:rPr>
        <w:t xml:space="preserve">Ergebnis: </w:t>
      </w:r>
      <w:r>
        <w:t>ROC-abgeleitete Cut-off-Werte: MIP 28,50 cmH₂O (AUC 0,81, 95%-KI 0,70-0,93), MEP 49,50 cmH₂O (AUC 0,78, 95%-KI 0,64-0,92). MIP und MEP korrelieren signifikant mit Handgriffkraft (r=0,318 u. 0,323) und Muskelmasse-Index (r=0,291 u. 0,255). Geschlechts- und altersgerechte Werte verbessern diagnostische Präzision.</w:t>
      </w:r>
    </w:p>
    <w:p>
      <w:r>
        <w:rPr>
          <w:b/>
          <w:sz w:val="19"/>
        </w:rPr>
        <w:t xml:space="preserve">Übertragbarkeit: </w:t>
      </w:r>
      <w:r>
        <w:rPr>
          <w:sz w:val="19"/>
        </w:rPr>
        <w:t>Südkorea - Validierungsstudie mit biologischen Messwerten, Übertragbarkeit auf europäische ältere Bevölkerungen</w:t>
      </w:r>
    </w:p>
    <w:p>
      <w:r>
        <w:rPr>
          <w:color w:val="5A7D3A"/>
          <w:sz w:val="18"/>
        </w:rPr>
        <w:t>https://pubmed.ncbi.nlm.nih.gov/42773075/</w:t>
      </w:r>
    </w:p>
    <w:p>
      <w:pPr>
        <w:pStyle w:val="Heading2"/>
      </w:pPr>
      <w:r>
        <w:t>Geschlechterunterschiede in Lippenspalten variieren nach Typ und Ausprägung</w:t>
      </w:r>
    </w:p>
    <w:p>
      <w:r>
        <w:rPr>
          <w:i/>
          <w:color w:val="666666"/>
          <w:sz w:val="18"/>
        </w:rPr>
        <w:t>Yanagisawa H et al.  ·  Congenit Anom (Kyoto)  ·  Jan. 2026  ·  PMID 42768403</w:t>
      </w:r>
    </w:p>
    <w:p>
      <w:r>
        <w:t>Retrospektive Kohortenstudie mit 4.548 japanischen Patienten mit Lippen-Kiefer-Gaumenspalten, um geschlechtsspezifische Unterschiede in Prävalenz und Ausprägung zu untersuchen.</w:t>
      </w:r>
    </w:p>
    <w:p>
      <w:r>
        <w:rPr>
          <w:b/>
        </w:rPr>
        <w:t xml:space="preserve">Ergebnis: </w:t>
      </w:r>
      <w:r>
        <w:t>Männer zeigten Übergewicht bei Lippenspalten und kombinierten Spalten (besonders unvollständig); Frauen bei isolierten Gaumenspalten (stärker bei Hard-palate-Beteiligung). Der Geschlechtsunterschied variiert mit Spalttyp, Seitigkeit und Ausmaß: Männer überwiegen bei leichteren CL/CLP, Frauen bei schwerereren CP-Formen.</w:t>
      </w:r>
    </w:p>
    <w:p>
      <w:r>
        <w:rPr>
          <w:b/>
          <w:sz w:val="19"/>
        </w:rPr>
        <w:t xml:space="preserve">Übertragbarkeit: </w:t>
      </w:r>
      <w:r>
        <w:rPr>
          <w:sz w:val="19"/>
        </w:rPr>
        <w:t>Japan - Kohortenbasis, Geschlechtsunterschiede in Entwicklungsstörungen sind international vergleichbar</w:t>
      </w:r>
    </w:p>
    <w:p>
      <w:r>
        <w:rPr>
          <w:color w:val="5A7D3A"/>
          <w:sz w:val="18"/>
        </w:rPr>
        <w:t>https://pubmed.ncbi.nlm.nih.gov/42768403/</w:t>
      </w:r>
    </w:p>
    <w:p>
      <w:pPr>
        <w:pStyle w:val="Heading2"/>
      </w:pPr>
      <w:r>
        <w:t>Angststörungen in Kolumbien: Geschlechtsspezifische Belastung 2016-2022</w:t>
      </w:r>
    </w:p>
    <w:p>
      <w:r>
        <w:rPr>
          <w:i/>
          <w:color w:val="666666"/>
          <w:sz w:val="18"/>
        </w:rPr>
        <w:t>Gutierrez-Lesmes OA et al.  ·  Popul Health Metr  ·  15.09.2026  ·  PMID 42768356</w:t>
      </w:r>
    </w:p>
    <w:p>
      <w:r>
        <w:t>Longitudinale ökologische Studie mit administrativen Gesundheitsdaten zu Angststörungen in 32 kolumbianischen Departements mit Berechnung behinderungsadjustierter Lebensjahre (DALYs).</w:t>
      </w:r>
    </w:p>
    <w:p>
      <w:r>
        <w:rPr>
          <w:b/>
        </w:rPr>
        <w:t xml:space="preserve">Ergebnis: </w:t>
      </w:r>
      <w:r>
        <w:t>3.055.505 Fälle, 1.266.489 DALYs identifiziert. Altersstandardisierte DALY-Rate stieg von 177,9 (2016) auf 687,4 pro 100.000 (2022; jährliche Änderung +25,41%, 95%-KI 19,48-31,63). Frauen zeigten durchgehend höhere Belastung als Männer; erhebliche territoriale Ungleichheiten (Andean-Region am höchsten).</w:t>
      </w:r>
    </w:p>
    <w:p>
      <w:r>
        <w:rPr>
          <w:b/>
          <w:sz w:val="19"/>
        </w:rPr>
        <w:t xml:space="preserve">Übertragbarkeit: </w:t>
      </w:r>
      <w:r>
        <w:rPr>
          <w:sz w:val="19"/>
        </w:rPr>
        <w:t>Lateinamerika - administrative Routinedaten zeigen geschlechterspezifische Muster, aber größere Ressourcendisparitäten zu Deutschland</w:t>
      </w:r>
    </w:p>
    <w:p>
      <w:r>
        <w:rPr>
          <w:color w:val="5A7D3A"/>
          <w:sz w:val="18"/>
        </w:rPr>
        <w:t>https://pubmed.ncbi.nlm.nih.gov/42768356/</w:t>
      </w:r>
    </w:p>
    <w:p>
      <w:pPr>
        <w:pStyle w:val="Heading2"/>
      </w:pPr>
      <w:r>
        <w:t>Psychische Belastung von Lesben und bisexuellen Frauen in chinesischen Hochschulen</w:t>
      </w:r>
    </w:p>
    <w:p>
      <w:r>
        <w:rPr>
          <w:i/>
          <w:color w:val="666666"/>
          <w:sz w:val="18"/>
        </w:rPr>
        <w:t>Liu Y  ·  Front Public Health  ·  28.08.2026  ·  PMID 42729124</w:t>
      </w:r>
    </w:p>
    <w:p>
      <w:r>
        <w:t>Qualitative Interviewstudie mit 8 selbstidentifizierten lesbischen/bisexuellen cisgender Frauen an chinesischen Universitäten, um Mechanismen von strukturiertem Stigma und psychischer Belastung zu untersuchen (Minority-Stress-Modell).</w:t>
      </w:r>
    </w:p>
    <w:p>
      <w:r>
        <w:rPr>
          <w:b/>
        </w:rPr>
        <w:t xml:space="preserve">Ergebnis: </w:t>
      </w:r>
      <w:r>
        <w:t>Fünf Themen identifiziert: (1) Strukturelle Ungleichheit als Angst und kognitive Wachsamkeit; (2) institutionelle Ressourcendeprivation; (3) erlebtes und internalisiertes Stigma (Scham, Identitätsverborgenheit, depressive Symptome); (4) intersektionale Unsichtbarkeit verstärkt Belastung; (5) institutionelle Unterstützung puffert ab. Drei Mediationspfade wirksam: sozial-kognitiv, emotional-regulatorisch, interpersonell.</w:t>
      </w:r>
    </w:p>
    <w:p>
      <w:r>
        <w:rPr>
          <w:b/>
          <w:sz w:val="19"/>
        </w:rPr>
        <w:t xml:space="preserve">Übertragbarkeit: </w:t>
      </w:r>
      <w:r>
        <w:rPr>
          <w:sz w:val="19"/>
        </w:rPr>
        <w:t>China - qualitative Mechanismusforschung zu Zugangsbarr ieren und Stigma-Verarbeitung; Erkenntnisse zu Diskriminierungsvermeidung auf Versorgungsebene übertragbar</w:t>
      </w:r>
    </w:p>
    <w:p>
      <w:r>
        <w:rPr>
          <w:color w:val="5A7D3A"/>
          <w:sz w:val="18"/>
        </w:rPr>
        <w:t>https://pubmed.ncbi.nlm.nih.gov/42729124/</w:t>
      </w:r>
    </w:p>
    <w:p>
      <w:pPr>
        <w:pStyle w:val="Heading2"/>
      </w:pPr>
      <w:r>
        <w:t>Konversionspraktiken und psychische Gesundheit bei LGBTQ-Menschen in Portugal</w:t>
      </w:r>
    </w:p>
    <w:p>
      <w:r>
        <w:rPr>
          <w:i/>
          <w:color w:val="666666"/>
          <w:sz w:val="18"/>
        </w:rPr>
        <w:t>Costa PA et al.  ·  LGBT Health  ·  14.08.2026  ·  PMID 42598799</w:t>
      </w:r>
    </w:p>
    <w:p>
      <w:r>
        <w:t>Online-Querschnittsumfrage mit 424 sexuell und geschlechtlich diversen Personen zu Erfahrungen mit Konversionspraktiken und deren Assoziation mit psychischer Belastung (CORE-Outcome Measure).</w:t>
      </w:r>
    </w:p>
    <w:p>
      <w:r>
        <w:rPr>
          <w:b/>
        </w:rPr>
        <w:t xml:space="preserve">Ergebnis: </w:t>
      </w:r>
      <w:r>
        <w:t>21,7% (n=91) berichteten Konversionspraxis-Exposition, davon 22% durch Mental-Health-Professional durchgeführt; 38,5% suchten aktiv danach, 61,5% wurden dazu gedrängt/gezwungen. Durchschnittsalter bei Start: 16,5 Jahre. Teilnehmer mit Konversionserfahrung zeigten signifikant niedrigeres Wohlbefinden und Funktionsfähigkeit, höhere Symptombelastung (p&lt;0,05) als Nicht-Exponierte.</w:t>
      </w:r>
    </w:p>
    <w:p>
      <w:r>
        <w:rPr>
          <w:b/>
          <w:sz w:val="19"/>
        </w:rPr>
        <w:t xml:space="preserve">Übertragbarkeit: </w:t>
      </w:r>
      <w:r>
        <w:rPr>
          <w:sz w:val="19"/>
        </w:rPr>
        <w:t>Portugal, südliches Europa - EU-Kontext mit ähnlichen Schutzgesetzgebungsdefiziten; zeigt Versorgungsschaden durch schädliche Praktiken</w:t>
      </w:r>
    </w:p>
    <w:p>
      <w:r>
        <w:rPr>
          <w:color w:val="5A7D3A"/>
          <w:sz w:val="18"/>
        </w:rPr>
        <w:t>https://pubmed.ncbi.nlm.nih.gov/42598799/</w:t>
      </w:r>
    </w:p>
    <w:p>
      <w:pPr>
        <w:pStyle w:val="Heading2"/>
      </w:pPr>
      <w:r>
        <w:t>Proteasom-Biomarker bei Speiseröhrenkrebs: Geschlechtsspezifische Prognose</w:t>
      </w:r>
    </w:p>
    <w:p>
      <w:r>
        <w:rPr>
          <w:i/>
          <w:color w:val="666666"/>
          <w:sz w:val="18"/>
        </w:rPr>
        <w:t>Quaas A et al.  ·  Int J Cancer  ·  15.11.2026  ·  PMID 42581747</w:t>
      </w:r>
    </w:p>
    <w:p>
      <w:r>
        <w:t>Massenspektrometrie-basierte Proteomik an 92 Speiseröhrenadenokar zinomen (47 Frauen, 45 Männer) zur Identifikation von geschlechtsspezifischen Proteinmustern und Prognosesignaturen.</w:t>
      </w:r>
    </w:p>
    <w:p>
      <w:r>
        <w:rPr>
          <w:b/>
        </w:rPr>
        <w:t xml:space="preserve">Ergebnis: </w:t>
      </w:r>
      <w:r>
        <w:t>Schwangerschaftszone-Protein (PZP) erhöht in Frauentumoren, Y-Chromosome-Proteine (DDX3Y, RPS4Y1) in Männertumoren. Erhöhte PZP-Expression assoziiert mit signifikant schlechterer Gesamtüberlebensrate bei Männern (nicht bei Frauen/kombiniert). Geschlecht prägt immune Pathways und prognostische Protein-Landschaften.</w:t>
      </w:r>
    </w:p>
    <w:p>
      <w:r>
        <w:rPr>
          <w:b/>
          <w:sz w:val="19"/>
        </w:rPr>
        <w:t xml:space="preserve">Übertragbarkeit: </w:t>
      </w:r>
      <w:r>
        <w:rPr>
          <w:sz w:val="19"/>
        </w:rPr>
        <w:t>Deutschland - Grundlagenproteomik mit klinischer Outcome-Relevanz, übertragbar wenn in Routinepraxen eingeführt</w:t>
      </w:r>
    </w:p>
    <w:p>
      <w:r>
        <w:rPr>
          <w:color w:val="5A7D3A"/>
          <w:sz w:val="18"/>
        </w:rPr>
        <w:t>https://pubmed.ncbi.nlm.nih.gov/42581747/</w:t>
      </w:r>
    </w:p>
    <w:p>
      <w:pPr>
        <w:pStyle w:val="Heading2"/>
      </w:pPr>
      <w:r>
        <w:t>Kardiovaskuläres Risiko: Frauen sterben häufiger an Herzkrankheiten</w:t>
      </w:r>
    </w:p>
    <w:p>
      <w:r>
        <w:rPr>
          <w:i/>
          <w:color w:val="666666"/>
          <w:sz w:val="18"/>
        </w:rPr>
        <w:t>Mounier-Véhier C  ·  Rev Infirm  ·  01.06.2026  ·  PMID 42309640</w:t>
      </w:r>
    </w:p>
    <w:p>
      <w:r>
        <w:t>Meinungsbeitrag zur kardiovaskulären Mortalität bei Frauen in Frankreich, identifiziert modifizierbare Risikofaktoren und Rolle von Gesundheitsfachpersonen.</w:t>
      </w:r>
    </w:p>
    <w:p>
      <w:r>
        <w:rPr>
          <w:b/>
        </w:rPr>
        <w:t xml:space="preserve">Ergebnis: </w:t>
      </w:r>
      <w:r>
        <w:t>Kardiovaskuläre Erkrankung führende Todesursache bei Frauen in Frankreich. Unhealthy behaviors, inadequate care, lifestyle changes und geschlechtsspezifische Risikofaktoren als negative Determinanten. Gesundheitsfachpersonen spielen Schlüsselrolle bei Prävention und Aufklärung.</w:t>
      </w:r>
    </w:p>
    <w:p>
      <w:r>
        <w:rPr>
          <w:b/>
          <w:sz w:val="19"/>
        </w:rPr>
        <w:t xml:space="preserve">Übertragbarkeit: </w:t>
      </w:r>
      <w:r>
        <w:rPr>
          <w:sz w:val="19"/>
        </w:rPr>
        <w:t>Frankreich - vergleichbares westeuropäisches Sozialversicherungssystem, kardiovaskuläre Geschlechterdisparitäten in Präventionszugang</w:t>
      </w:r>
    </w:p>
    <w:p>
      <w:r>
        <w:rPr>
          <w:color w:val="5A7D3A"/>
          <w:sz w:val="18"/>
        </w:rPr>
        <w:t>https://pubmed.ncbi.nlm.nih.gov/42309640/</w:t>
      </w:r>
    </w:p>
    <w:p>
      <w:pPr>
        <w:pStyle w:val="Heading1"/>
      </w:pPr>
      <w:r>
        <w:t>Aufgenommen am 22.09.2026</w:t>
      </w:r>
    </w:p>
    <w:p>
      <w:pPr>
        <w:pStyle w:val="Heading2"/>
      </w:pPr>
      <w:r>
        <w:t>Metakognitives Training bei Psychose: Geschlechter zeigen gleiche Symptombesserung</w:t>
      </w:r>
    </w:p>
    <w:p>
      <w:r>
        <w:rPr>
          <w:i/>
          <w:color w:val="666666"/>
          <w:sz w:val="18"/>
        </w:rPr>
        <w:t>Lamarca M et al.  ·  PLoS One  ·  21.09.2026  ·  PMID 42766584</w:t>
      </w:r>
    </w:p>
    <w:p>
      <w:r>
        <w:t>Retrospektive harmonisierte Analyse über 573 Patienten mit Schizophrenie-Spektrum-Störung aus internationalem Konsortium (PERMEPSY), die Metakognitives Training für Psychose erhielten, geschlechtsspezifische Effekte auf Symptomtrajektorien untersucht.</w:t>
      </w:r>
    </w:p>
    <w:p>
      <w:r>
        <w:rPr>
          <w:b/>
        </w:rPr>
        <w:t xml:space="preserve">Ergebnis: </w:t>
      </w:r>
      <w:r>
        <w:t>Metakognitives Training reduzierte positive, negative, allgemeine und Gesamtsymptome signifikant in der Gesamtstichprobe. Kein signifikanter Moderationseffekt des biologischen Geschlechts auf Symptomveränderungen (alle Domänen p&gt;0,05), trotz beobachteter Unterschiede in Ausgangssymptomprofilen.</w:t>
      </w:r>
    </w:p>
    <w:p>
      <w:r>
        <w:rPr>
          <w:b/>
          <w:sz w:val="19"/>
        </w:rPr>
        <w:t xml:space="preserve">Übertragbarkeit: </w:t>
      </w:r>
      <w:r>
        <w:rPr>
          <w:sz w:val="19"/>
        </w:rPr>
        <w:t>Internationale Konsortiumsdaten – Vergleichbarkeit auf Deutschland abhängig von Implementierungstreue, keine spezifischen Anpassungen durch Geschlecht nötig.</w:t>
      </w:r>
    </w:p>
    <w:p>
      <w:r>
        <w:rPr>
          <w:color w:val="5A7D3A"/>
          <w:sz w:val="18"/>
        </w:rPr>
        <w:t>https://pubmed.ncbi.nlm.nih.gov/42766584/</w:t>
      </w:r>
    </w:p>
    <w:p>
      <w:pPr>
        <w:pStyle w:val="Heading2"/>
      </w:pPr>
      <w:r>
        <w:t>Clopidogrel reduziert kardiovaskuläre Ereignisse bei Frauen nach Koronarintervention</w:t>
      </w:r>
    </w:p>
    <w:p>
      <w:r>
        <w:rPr>
          <w:i/>
          <w:color w:val="666666"/>
          <w:sz w:val="18"/>
        </w:rPr>
        <w:t>Kwon W et al.  ·  EuroIntervention  ·  21.09.2026  ·  PMID 42765401</w:t>
      </w:r>
    </w:p>
    <w:p>
      <w:r>
        <w:t>Geschlechtsspezifische Analyse des SMART-CHOICE-3-Trials zu antiplateleteren Strategien nach perkutaner Koronarintervention (n=5.506, davon 1.002 Frauen) in Südkorea.</w:t>
      </w:r>
    </w:p>
    <w:p>
      <w:r>
        <w:rPr>
          <w:b/>
        </w:rPr>
        <w:t xml:space="preserve">Ergebnis: </w:t>
      </w:r>
      <w:r>
        <w:t>Clopidogrel senkte primären Endpunkt (Tod, Herzinfarkt, Schlaganfall) bei Frauen signifikant (4,3% vs. 9,4%, aHR 0,45, 95%-KI 0,24–0,85, p=0,014), nicht aber bei Männern (4,4% vs. 6,0%, aHR 0,77, p=0,116). Keine signifikante Interaktion zwischen Geschlecht und Therapie (p=0,288), daher konsistente Richtung in beiden Gruppen.</w:t>
      </w:r>
    </w:p>
    <w:p>
      <w:r>
        <w:rPr>
          <w:b/>
          <w:sz w:val="19"/>
        </w:rPr>
        <w:t xml:space="preserve">Übertragbarkeit: </w:t>
      </w:r>
      <w:r>
        <w:rPr>
          <w:sz w:val="19"/>
        </w:rPr>
        <w:t>Südkorea – Befund zur Arzneimittelwirksamkeit geschlechtsunabhängig übertragbar.</w:t>
      </w:r>
    </w:p>
    <w:p>
      <w:r>
        <w:rPr>
          <w:color w:val="5A7D3A"/>
          <w:sz w:val="18"/>
        </w:rPr>
        <w:t>https://pubmed.ncbi.nlm.nih.gov/42765401/</w:t>
      </w:r>
    </w:p>
    <w:p>
      <w:pPr>
        <w:pStyle w:val="Heading2"/>
      </w:pPr>
      <w:r>
        <w:t>Biomedizin auf männlichem Default-Modell: Geschlechtsgerechtigkeit erfordert strukturelle Reformen</w:t>
      </w:r>
    </w:p>
    <w:p>
      <w:r>
        <w:rPr>
          <w:i/>
          <w:color w:val="666666"/>
          <w:sz w:val="18"/>
        </w:rPr>
        <w:t>D'Archivio M et al.  ·  Ann Ist Super Sanita  ·  Juli 2026  ·  PMID 42742238</w:t>
      </w:r>
    </w:p>
    <w:p>
      <w:r>
        <w:t>Kommentar zur strukturellen Geschlechtsbias in Forschung und Klinik; analysiert, wie male-default-Paradigma zu diagnostischen Verzögerungen, inadäquaten Behandlungen und Ungleichheiten führt und warum geschlechtergetrennte Datenanalyse und Pharmakokinetik-Berücksichtigung systemisch notwendig sind.</w:t>
      </w:r>
    </w:p>
    <w:p>
      <w:r>
        <w:rPr>
          <w:b/>
        </w:rPr>
        <w:t xml:space="preserve">Ergebnis: </w:t>
      </w:r>
      <w:r>
        <w:t>Darlegung von Zellniveau-Unterschieden und unterschiedlichen Krankheitsmanifestatonen zwischen Geschlechtern, höhere Nebenwirkungsrisiken bei Frauen durch Nichtbeachtung geschlechtsspezifischer metabolischer Profile. Forderung: Mandatory Sex-disaggregated Reporting, Integration von Gender-responsive Variablen, Anerkennung, dass Frauen keine kleineren Männer sind.</w:t>
      </w:r>
    </w:p>
    <w:p>
      <w:r>
        <w:rPr>
          <w:b/>
          <w:sz w:val="19"/>
        </w:rPr>
        <w:t xml:space="preserve">Übertragbarkeit: </w:t>
      </w:r>
      <w:r>
        <w:rPr>
          <w:sz w:val="19"/>
        </w:rPr>
        <w:t>Kommentar aus italienischem Referenzzentrum für Geschlechtermedizin – zentrale Erkenntnisse zur Notwendigkeit struktureller Leitlinien-Integration in Deutschland unmittelbar übertragbar.</w:t>
      </w:r>
    </w:p>
    <w:p>
      <w:r>
        <w:rPr>
          <w:color w:val="5A7D3A"/>
          <w:sz w:val="18"/>
        </w:rPr>
        <w:t>https://pubmed.ncbi.nlm.nih.gov/42742238/</w:t>
      </w:r>
    </w:p>
    <w:p>
      <w:pPr>
        <w:pStyle w:val="Heading2"/>
      </w:pPr>
      <w:r>
        <w:t>Sturzbedingte Mortalität bei Zirrhose in USA: Geschlechtergap wächst</w:t>
      </w:r>
    </w:p>
    <w:p>
      <w:r>
        <w:rPr>
          <w:i/>
          <w:color w:val="666666"/>
          <w:sz w:val="18"/>
        </w:rPr>
        <w:t>Kerr LB et al.  ·  Medicine (Baltimore)  ·  11.09.2026  ·  PMID 42736796</w:t>
      </w:r>
    </w:p>
    <w:p>
      <w:r>
        <w:t>Bevölkerungsbasierte retrospektive Analyse von CDC-Routinedaten 1999–2023 zu Todesfällen mit Sturz als primäre Ursache und Zirrhose als Kofaktor (n=10.029 Fälle insgesamt).</w:t>
      </w:r>
    </w:p>
    <w:p>
      <w:r>
        <w:rPr>
          <w:b/>
        </w:rPr>
        <w:t xml:space="preserve">Ergebnis: </w:t>
      </w:r>
      <w:r>
        <w:t>Altersstandardisierte Mortalitätsrate stieg von 1,5 (1999) auf 5,5 pro 1 Mio. (2023). 2023 waren Raten bei Männern doppelt so hoch wie bei Frauen (7,31 vs. 4,02). Anstieg 1999–2017 um 4,65% p.a., dann 2017–2023 um 7,29% p.a. (p=0,004). Alter ≥65 Jahre zeigt stärkere Raten (9,28 vs. 3,40 für 45–64 Jahre).</w:t>
      </w:r>
    </w:p>
    <w:p>
      <w:r>
        <w:rPr>
          <w:b/>
          <w:sz w:val="19"/>
        </w:rPr>
        <w:t xml:space="preserve">Übertragbarkeit: </w:t>
      </w:r>
      <w:r>
        <w:rPr>
          <w:sz w:val="19"/>
        </w:rPr>
        <w:t>USA-Routinedaten – begrenzte Übertragbarkeit, aber Präventionsbedarf (Sturzrisiko, Gebrechlichkeit) international relevant.</w:t>
      </w:r>
    </w:p>
    <w:p>
      <w:r>
        <w:rPr>
          <w:color w:val="5A7D3A"/>
          <w:sz w:val="18"/>
        </w:rPr>
        <w:t>https://pubmed.ncbi.nlm.nih.gov/42736796/</w:t>
      </w:r>
    </w:p>
    <w:p>
      <w:pPr>
        <w:pStyle w:val="Heading2"/>
      </w:pPr>
      <w:r>
        <w:t>Psychologische Kontrolle und Depression: Positivität schützt Mädchen, nicht Jungen</w:t>
      </w:r>
    </w:p>
    <w:p>
      <w:r>
        <w:rPr>
          <w:i/>
          <w:color w:val="666666"/>
          <w:sz w:val="18"/>
        </w:rPr>
        <w:t>Ding L et al.  ·  Res Child Adolesc Psychopathol  ·  08.09.2026  ·  PMID 42711574</w:t>
      </w:r>
    </w:p>
    <w:p>
      <w:r>
        <w:t>Longitudinale Studie über vier Wellen (6-Monats-Intervalle) bei 4.254 chinesischen Frühadoleszenten (55,5% Jungen, Alter 10–13 Jahre) zu reziproken Assoziationen zwischen elterlicher psychologischer Kontrolle und Depressionssymptomen und der mediierenden Rolle von Positivität.</w:t>
      </w:r>
    </w:p>
    <w:p>
      <w:r>
        <w:rPr>
          <w:b/>
        </w:rPr>
        <w:t xml:space="preserve">Ergebnis: </w:t>
      </w:r>
      <w:r>
        <w:t>Random-Intercept-Cross-Lagged-Panel-Modelle zeigten reziproke within-person-Assoziationen in Gesamtstichprobe und beiden Geschlechtern. Positivität mediierte bidirektionale Assoziationen in Gesamtstichprobe und bei Mädchen (partieller Mediationseffekt signifikant), aber nicht bei Jungen (p&gt;0,05). Befund deutet auf geschlechtsspezifische Schutzmechanismen hin.</w:t>
      </w:r>
    </w:p>
    <w:p>
      <w:r>
        <w:rPr>
          <w:b/>
          <w:sz w:val="19"/>
        </w:rPr>
        <w:t xml:space="preserve">Übertragbarkeit: </w:t>
      </w:r>
      <w:r>
        <w:rPr>
          <w:sz w:val="19"/>
        </w:rPr>
        <w:t>China-Studie mit großer Stichprobe; Geschlechtsunterschiede in Resilienzfaktoren können kulturübergreifend relevant sein, jedoch AWMF-Leitlinien zur Eltern-Kind-Prävention müssen geschlechtsspezifische Ansätze prüfen.</w:t>
      </w:r>
    </w:p>
    <w:p>
      <w:r>
        <w:rPr>
          <w:color w:val="5A7D3A"/>
          <w:sz w:val="18"/>
        </w:rPr>
        <w:t>https://pubmed.ncbi.nlm.nih.gov/42711574/</w:t>
      </w:r>
    </w:p>
    <w:p>
      <w:pPr>
        <w:pStyle w:val="Heading2"/>
      </w:pPr>
      <w:r>
        <w:t>LGBTQ+-Patienten mit Parkinson-Syndrom berichten mehr Angststörung und motorische Defizite</w:t>
      </w:r>
    </w:p>
    <w:p>
      <w:r>
        <w:rPr>
          <w:i/>
          <w:color w:val="666666"/>
          <w:sz w:val="18"/>
        </w:rPr>
        <w:t>Flatt J et al.  ·  Front Public Health  ·  24.08.2026  ·  PMID 42707080</w:t>
      </w:r>
    </w:p>
    <w:p>
      <w:r>
        <w:t>Nationale Querschnittstudie (2022–2025, n=254: 89 LGBTQ+, 165 nicht-LGBTQ+) zu Parkinson-Symptomen und Gesundheits-assoziiertem Outcome bei älteren Erwachsenen in USA; Vergleich der Symptombelastung und sozialen Determinanten.</w:t>
      </w:r>
    </w:p>
    <w:p>
      <w:r>
        <w:rPr>
          <w:b/>
        </w:rPr>
        <w:t xml:space="preserve">Ergebnis: </w:t>
      </w:r>
      <w:r>
        <w:t>LGBTQ+-Teilnehmer zeigten höhere Prävalenz von Angststörung (53,9% vs. 33,3%, p=0,002), moderate-schwere Motordefizite (32,2% vs. 19,4%, p=0,024) und Einsamkeit (18,8% vs. 8,5%, p=0,037) als nicht-LGBTQ+-Vergleichsgruppe. Jüngeres Alter, Rasse/Ethnizität und Diskriminierungserfahrung assoziiert mit höheren motorischen Symptomen. Kausalität nicht belegt.</w:t>
      </w:r>
    </w:p>
    <w:p>
      <w:r>
        <w:rPr>
          <w:b/>
          <w:sz w:val="19"/>
        </w:rPr>
        <w:t xml:space="preserve">Übertragbarkeit: </w:t>
      </w:r>
      <w:r>
        <w:rPr>
          <w:sz w:val="19"/>
        </w:rPr>
        <w:t>USA-Konvenienzstichprobe – Diskriminierungserlebnis als Barrier-Mechanismus universell; Zugangsbarrien speziell für LGBTQ+ in deutschem System zu prüfen.</w:t>
      </w:r>
    </w:p>
    <w:p>
      <w:r>
        <w:rPr>
          <w:color w:val="5A7D3A"/>
          <w:sz w:val="18"/>
        </w:rPr>
        <w:t>https://pubmed.ncbi.nlm.nih.gov/42707080/</w:t>
      </w:r>
    </w:p>
    <w:p>
      <w:pPr>
        <w:pStyle w:val="Heading1"/>
      </w:pPr>
      <w:r>
        <w:t>Aufgenommen am 21.09.2026</w:t>
      </w:r>
    </w:p>
    <w:p>
      <w:pPr>
        <w:pStyle w:val="Heading2"/>
      </w:pPr>
      <w:r>
        <w:t>Schlafstörungen nach Schlaganfall: Frauen 1,3× häufiger betroffen</w:t>
      </w:r>
    </w:p>
    <w:p>
      <w:r>
        <w:rPr>
          <w:i/>
          <w:color w:val="666666"/>
          <w:sz w:val="18"/>
        </w:rPr>
        <w:t>Susanty S et al.  ·  F1000Res  ·  15.09.2026  ·  PMID 42763448</w:t>
      </w:r>
    </w:p>
    <w:p>
      <w:r>
        <w:t>Bevölkerungsquerschnitt von 7.147 indonesischen Schlaganfallüberlebenden aus der Basic Health Research 2018 zur Prävalenz von Schlafstörungen nach Geschlecht und assoziierten Faktoren.</w:t>
      </w:r>
    </w:p>
    <w:p>
      <w:r>
        <w:rPr>
          <w:b/>
        </w:rPr>
        <w:t xml:space="preserve">Ergebnis: </w:t>
      </w:r>
      <w:r>
        <w:t>Gesamtprävalenz Schlafstörung 28,4% (95%-KI: 27,4–29,4%). Frauen 34,4% vs. Männer 26,1% (p&lt;0,05). Bei Männern assoziiert: tägliches Rauchen, niedriges Bildungsniveau, Landbewohner, geringe körperliche Aktivität. Bei Frauen assoziiert: Komorbiditäten (Herz-Kreislauf-Erkrankung, Asthma). Unterschiede persistent über Altersgruppen; dyspnoe während akuter Phase nur bei Frauen signifikanter Prädiktor.</w:t>
      </w:r>
    </w:p>
    <w:p>
      <w:r>
        <w:rPr>
          <w:b/>
          <w:sz w:val="19"/>
        </w:rPr>
        <w:t xml:space="preserve">Übertragbarkeit: </w:t>
      </w:r>
      <w:r>
        <w:rPr>
          <w:sz w:val="19"/>
        </w:rPr>
        <w:t>Südostasiatische Bevölkerungsdaten; Geschlechtsunterschiede in Symptomen und Risikofaktoren biologisch oder durch Versorgungszugang unklar.</w:t>
      </w:r>
    </w:p>
    <w:p>
      <w:r>
        <w:rPr>
          <w:color w:val="5A7D3A"/>
          <w:sz w:val="18"/>
        </w:rPr>
        <w:t>https://pubmed.ncbi.nlm.nih.gov/42763448/</w:t>
      </w:r>
    </w:p>
    <w:p>
      <w:pPr>
        <w:pStyle w:val="Heading2"/>
      </w:pPr>
      <w:r>
        <w:t>Unfallbedingte Todesfälle: Stadt-Land-Unterschiede in China 2002–2021</w:t>
      </w:r>
    </w:p>
    <w:p>
      <w:r>
        <w:rPr>
          <w:i/>
          <w:color w:val="666666"/>
          <w:sz w:val="18"/>
        </w:rPr>
        <w:t>Wu Y et al.  ·  BMC Public Health  ·  14.09.2026  ·  PMID 42763397</w:t>
      </w:r>
    </w:p>
    <w:p>
      <w:r>
        <w:t>Analyse von 20 Jahren offizieller chinesischer Gesundheitsdaten zu Verletzungsmortalität nach Urbanisationsgrad, Geschlecht, Alter und Unfallart.</w:t>
      </w:r>
    </w:p>
    <w:p>
      <w:r>
        <w:rPr>
          <w:b/>
        </w:rPr>
        <w:t xml:space="preserve">Ergebnis: </w:t>
      </w:r>
      <w:r>
        <w:t>Altersstandardisierte ländliche Mortalität um Faktor 1,07–2,37 höher als in städtischen Gebieten; Unterschiede bestanden über alle Geschlechter und Altersgruppen. Disparitäten hauptsächlich durch Verkehrsunfälle, Suizide und Stürze getrieben; Gap für Stürze und Vergiftungen verbreiterte sich signifikant. Keine geschlechtsspezifischen Interaktionen berichtet, doch Muster über beide Geschlechter konsistent.</w:t>
      </w:r>
    </w:p>
    <w:p>
      <w:r>
        <w:rPr>
          <w:b/>
          <w:sz w:val="19"/>
        </w:rPr>
        <w:t xml:space="preserve">Übertragbarkeit: </w:t>
      </w:r>
      <w:r>
        <w:rPr>
          <w:sz w:val="19"/>
        </w:rPr>
        <w:t>Bevölkerungsbasierte Routinedaten, aber China-spezifische Risiken (Drinkwater-Unfälle); Übertragbarkeit auf ländliche deutsche Versorgungslücken begrenzt.</w:t>
      </w:r>
    </w:p>
    <w:p>
      <w:r>
        <w:rPr>
          <w:color w:val="5A7D3A"/>
          <w:sz w:val="18"/>
        </w:rPr>
        <w:t>https://pubmed.ncbi.nlm.nih.gov/42763397/</w:t>
      </w:r>
    </w:p>
    <w:p>
      <w:pPr>
        <w:pStyle w:val="Heading2"/>
      </w:pPr>
      <w:r>
        <w:t>Post-COVID-Syndrom: Frauen berichten mehr Müdigkeit, Angst und Arbeitsausfälle</w:t>
      </w:r>
    </w:p>
    <w:p>
      <w:r>
        <w:rPr>
          <w:i/>
          <w:color w:val="666666"/>
          <w:sz w:val="18"/>
        </w:rPr>
        <w:t>Sauer A et al.  ·  BMC Pulm Med  ·  19.09.2026  ·  PMID 42763394</w:t>
      </w:r>
    </w:p>
    <w:p>
      <w:r>
        <w:t>Prospektive Kohortenstudie an 433 Patienten mit anhaltenden COVID-19-Symptomen über 10 Monate an der Hannover Medical School, Deutschland.</w:t>
      </w:r>
    </w:p>
    <w:p>
      <w:r>
        <w:rPr>
          <w:b/>
        </w:rPr>
        <w:t xml:space="preserve">Ergebnis: </w:t>
      </w:r>
      <w:r>
        <w:t>Nach Anpassung für Alter, BMI, COVID-19-Schweregrad und Komorbiditäten zeigten Frauen signifikant höhere Fatigue (β=3,3; p=0,006), Angststörung (GAD-2 β=0,5; p=0,021), niedrigere Lebensqualität (EQ-5D-3L β=−0,6; p=0,004) und dreifach höhere klinisch relevante Arbeitsproduktivitätsbeeinträchtigung (OR=3,0; p=0,020). Bei Männern waren Fieber und Durchfall, bei Frauen BMI und Dyspnoe während akuter COVID-19 mit schlechterer Arbeitsproduktivität assoziiert. Diese Unterschiede persistierten über 10 Monate ohne signifikante Veränderung.</w:t>
      </w:r>
    </w:p>
    <w:p>
      <w:r>
        <w:rPr>
          <w:b/>
          <w:sz w:val="19"/>
        </w:rPr>
        <w:t xml:space="preserve">Übertragbarkeit: </w:t>
      </w:r>
      <w:r>
        <w:rPr>
          <w:sz w:val="19"/>
        </w:rPr>
        <w:t>Deutsche Klinikdaten, prospektives Studiendesign, vollständige Geschlechterstratifikation.</w:t>
      </w:r>
    </w:p>
    <w:p>
      <w:r>
        <w:rPr>
          <w:color w:val="5A7D3A"/>
          <w:sz w:val="18"/>
        </w:rPr>
        <w:t>https://pubmed.ncbi.nlm.nih.gov/42763394/</w:t>
      </w:r>
    </w:p>
    <w:p>
      <w:pPr>
        <w:pStyle w:val="Heading2"/>
      </w:pPr>
      <w:r>
        <w:t>Major Depression: Geschlechtsspezifisches genetisches Risiko mit höherer Polygenie bei Frauen</w:t>
      </w:r>
    </w:p>
    <w:p>
      <w:r>
        <w:rPr>
          <w:i/>
          <w:color w:val="666666"/>
          <w:sz w:val="18"/>
        </w:rPr>
        <w:t>Jordan B  ·  Med Sci (Paris)  ·  14.09.2026  ·  PMID 42735352</w:t>
      </w:r>
    </w:p>
    <w:p>
      <w:r>
        <w:t>Narrative Übersicht über Genomweit-Assoziationsstudien (GWAS) zur genetischen Architektur von Major Depression und Geschlechtsunterschiede in Vererbbarkeit und genetischen Effekten.</w:t>
      </w:r>
    </w:p>
    <w:p>
      <w:r>
        <w:rPr>
          <w:b/>
        </w:rPr>
        <w:t xml:space="preserve">Ergebnis: </w:t>
      </w:r>
      <w:r>
        <w:t>Major Depression zeigt erhebliche Vererbbarkeit mit hochpolygener genetischer Landschaft und signifikanten Geschlechtsdifferenzen: höhere und polygener verteilte genetische Einflüsse bei Frauen im Vergleich zu Männern; Mechanismen jedoch noch unklar.</w:t>
      </w:r>
    </w:p>
    <w:p>
      <w:r>
        <w:rPr>
          <w:b/>
          <w:sz w:val="19"/>
        </w:rPr>
        <w:t xml:space="preserve">Übertragbarkeit: </w:t>
      </w:r>
      <w:r>
        <w:rPr>
          <w:sz w:val="19"/>
        </w:rPr>
        <w:t>Grundlagenforschung; zeigt biologische Komponente, aber ohne Versorgungsbezug oder therapeutische Implikationen für deutsches System.</w:t>
      </w:r>
    </w:p>
    <w:p>
      <w:r>
        <w:rPr>
          <w:color w:val="5A7D3A"/>
          <w:sz w:val="18"/>
        </w:rPr>
        <w:t>https://pubmed.ncbi.nlm.nih.gov/42735352/</w:t>
      </w:r>
    </w:p>
    <w:p>
      <w:pPr>
        <w:pStyle w:val="Heading2"/>
      </w:pPr>
      <w:r>
        <w:t>Krebsversorgung für LGBTQIA+-Patienten: Lücken in Wissen, Screening und Dokumentation</w:t>
      </w:r>
    </w:p>
    <w:p>
      <w:r>
        <w:rPr>
          <w:i/>
          <w:color w:val="666666"/>
          <w:sz w:val="18"/>
        </w:rPr>
        <w:t>Alqaisi O et al.  ·  Cancer Med  ·  Sept. 2026  ·  PMID 42728825</w:t>
      </w:r>
    </w:p>
    <w:p>
      <w:r>
        <w:t>Systematische Scoping Review von 20 Studien (2015–2025) zu Barrieren und Förderern für inklusive Krebsversorgung von sexuellen und geschlechtlichen Minderheiten in mehreren Ländern.</w:t>
      </w:r>
    </w:p>
    <w:p>
      <w:r>
        <w:rPr>
          <w:b/>
        </w:rPr>
        <w:t xml:space="preserve">Ergebnis: </w:t>
      </w:r>
      <w:r>
        <w:t>Kritische Wissenslücken bei Fachkräften: nur 5% beantworteten alle LGBTQIA+-Fragen korrekt, 40% berichteten Schwierigkeiten mit sexueller Gesundheit, 80% interessiert an Training. 65% der LGBTQIA+-Personen unsicher über Screening-Bedarf; 76% fehlte mind. eine HPV-Impfdosis. Schlüsselförderer: inklusive Kommunikation, routinemäßige Dokumentation von Geschlechtsidentität/sexueller Orientierung, sichtbare Sicherheitssignale.</w:t>
      </w:r>
    </w:p>
    <w:p>
      <w:r>
        <w:rPr>
          <w:b/>
          <w:sz w:val="19"/>
        </w:rPr>
        <w:t xml:space="preserve">Übertragbarkeit: </w:t>
      </w:r>
      <w:r>
        <w:rPr>
          <w:sz w:val="19"/>
        </w:rPr>
        <w:t>Multikontinentale Evidenz; konkrete Implementierungsbarrieren für deutsches System (elektronische Patientenakte, Schulung) identifizierbar.</w:t>
      </w:r>
    </w:p>
    <w:p>
      <w:r>
        <w:rPr>
          <w:color w:val="5A7D3A"/>
          <w:sz w:val="18"/>
        </w:rPr>
        <w:t>https://pubmed.ncbi.nlm.nih.gov/42728825/</w:t>
      </w:r>
    </w:p>
    <w:p>
      <w:pPr>
        <w:pStyle w:val="Heading2"/>
      </w:pPr>
      <w:r>
        <w:t>Geschlechtsangleichende Hormontherapie bei autistischen Erwachsenen verbessert berufliche Identität</w:t>
      </w:r>
    </w:p>
    <w:p>
      <w:r>
        <w:rPr>
          <w:i/>
          <w:color w:val="666666"/>
          <w:sz w:val="18"/>
        </w:rPr>
        <w:t>Miller SL et al.  ·  Aust Occup Ther J  ·  Okt. 2026  ·  PMID 42711810</w:t>
      </w:r>
    </w:p>
    <w:p>
      <w:r>
        <w:t>Qualitative Studie mit 6 autistischen transsexuellen/geschlechtsdiversen Erwachsenen unter Hormontherapie in australischer Geschlechtsklinik; Interviews und sensorisches Profil.</w:t>
      </w:r>
    </w:p>
    <w:p>
      <w:r>
        <w:rPr>
          <w:b/>
        </w:rPr>
        <w:t xml:space="preserve">Ergebnis: </w:t>
      </w:r>
      <w:r>
        <w:t>Autistische transsexuelle Erwachsene berichteten verbesserte Lebensqualität, psychische Gesundheit und berufliche Identität durch Hormontherapie. Einzigartige Herausforderungen durch Kombination Autismus+Geschlechtsdiversität bei Therapieadhärenz (sensorische und exekutive Dysfunktion); hormonale Veränderungen erhöhten Engagement in geschlechtsspezifischen Rollen/Berufen. Ergotherapie könnte Outcomes optimieren.</w:t>
      </w:r>
    </w:p>
    <w:p>
      <w:r>
        <w:rPr>
          <w:b/>
          <w:sz w:val="19"/>
        </w:rPr>
        <w:t xml:space="preserve">Übertragbarkeit: </w:t>
      </w:r>
      <w:r>
        <w:rPr>
          <w:sz w:val="19"/>
        </w:rPr>
        <w:t>Australische Spezialklinik, qualitatives Design; übertragbar auf deutsche Geschlechtskliniken (Expertise vorhanden), aber kleine Fallzahl und begrenzte Generalisierbarkeit.</w:t>
      </w:r>
    </w:p>
    <w:p>
      <w:r>
        <w:rPr>
          <w:color w:val="5A7D3A"/>
          <w:sz w:val="18"/>
        </w:rPr>
        <w:t>https://pubmed.ncbi.nlm.nih.gov/42711810/</w:t>
      </w:r>
    </w:p>
    <w:p>
      <w:pPr>
        <w:pStyle w:val="Heading1"/>
      </w:pPr>
      <w:r>
        <w:t>Aufgenommen am 20.09.2026</w:t>
      </w:r>
    </w:p>
    <w:p>
      <w:pPr>
        <w:pStyle w:val="Heading2"/>
      </w:pPr>
      <w:r>
        <w:t>Aortenchirurgie: Frauen berichten über schlechtere Lebensqualität in sozialen Beziehungen</w:t>
      </w:r>
    </w:p>
    <w:p>
      <w:r>
        <w:rPr>
          <w:i/>
          <w:color w:val="666666"/>
          <w:sz w:val="18"/>
        </w:rPr>
        <w:t>Kubisa AM et al.  ·  Vasc Health Risk Manag  ·  14.09.2026  ·  PMID 42761883</w:t>
      </w:r>
    </w:p>
    <w:p>
      <w:r>
        <w:t>Prospektive Kohortenstudie mit 150 Patienten (113 Männer, 37 Frauen) zur Erfassung von Lebensqualität, Krankheitsakzeptanz und psychischer Belastung 2 Jahre nach Aortenchirurgie mittels standardisierter Fragebögen.</w:t>
      </w:r>
    </w:p>
    <w:p>
      <w:r>
        <w:rPr>
          <w:b/>
        </w:rPr>
        <w:t xml:space="preserve">Ergebnis: </w:t>
      </w:r>
      <w:r>
        <w:t>Frauen zeigten unmittelbar nach der Operation niedrigere WHOQOL-Werte in allen vier Domänen (Psychologisch: 58,4 vs. 68,1; p=0,001; Soziale Beziehungen: 59,0 vs. 69,6; p&lt;0,001). Nach Adjustierung blieb das Defizit in der Domäne soziale Beziehungen persistent (adjustierte Differenz -6,86; 95%-KI -12,27 bis -1,44; p=0,013). Diese Beobachtung ist hypothesengenerierend und zeigt geschlechtsspezifische Unterschiede in psychosozialen Outcomes.</w:t>
      </w:r>
    </w:p>
    <w:p>
      <w:r>
        <w:rPr>
          <w:b/>
          <w:sz w:val="19"/>
        </w:rPr>
        <w:t xml:space="preserve">Übertragbarkeit: </w:t>
      </w:r>
      <w:r>
        <w:rPr>
          <w:sz w:val="19"/>
        </w:rPr>
        <w:t>Polen, vergleichbare Dokumentation wie deutsche Kliniken; Ursache nicht bestimmt.</w:t>
      </w:r>
    </w:p>
    <w:p>
      <w:r>
        <w:rPr>
          <w:color w:val="5A7D3A"/>
          <w:sz w:val="18"/>
        </w:rPr>
        <w:t>https://pubmed.ncbi.nlm.nih.gov/42761883/</w:t>
      </w:r>
    </w:p>
    <w:p>
      <w:pPr>
        <w:pStyle w:val="Heading2"/>
      </w:pPr>
      <w:r>
        <w:t>Schilddrüsenfunktion und Diabetes: Männer unter 65 Jahren stärker gefährdet</w:t>
      </w:r>
    </w:p>
    <w:p>
      <w:r>
        <w:rPr>
          <w:i/>
          <w:color w:val="666666"/>
          <w:sz w:val="18"/>
        </w:rPr>
        <w:t>Choi JY et al.  ·  Medicine (Baltimore)  ·  18.09.2026  ·  PMID 42760714</w:t>
      </w:r>
    </w:p>
    <w:p>
      <w:r>
        <w:t>Querschnittstudie mit 4910 erwachsenen Koreanern zur Prüfung der Assoziation zwischen TSH-, freies T4- und TPOAb-Spiegeln und Diabetesrisiko, stratifiziert nach Geschlecht und Alter.</w:t>
      </w:r>
    </w:p>
    <w:p>
      <w:r>
        <w:rPr>
          <w:b/>
        </w:rPr>
        <w:t xml:space="preserve">Ergebnis: </w:t>
      </w:r>
      <w:r>
        <w:t>Hohe TSH-Werte waren signifikant mit erhöhtem Diabetesrisiko assoziiert (OR=2,82; 95%-KI 1,26–6,32), besonders bei Männern unter 65 Jahren (OR=5,10; 95%-KI 1,65–15,77). Niedrige freies-T4-Werte zeigten erhöhtes Risiko (OR=2,08; 95%-KI 1,16–3,75), ebenfalls vornehmlich bei jüngeren Männern. Diese Unterschiede deuten auf biologische Geschlechtsvariabilität hin.</w:t>
      </w:r>
    </w:p>
    <w:p>
      <w:r>
        <w:rPr>
          <w:b/>
          <w:sz w:val="19"/>
        </w:rPr>
        <w:t xml:space="preserve">Übertragbarkeit: </w:t>
      </w:r>
      <w:r>
        <w:rPr>
          <w:sz w:val="19"/>
        </w:rPr>
        <w:t>Südkorea, nationale Gesundheitsdaten; biologische Unterschiede, nicht Zugangsweg relevant.</w:t>
      </w:r>
    </w:p>
    <w:p>
      <w:r>
        <w:rPr>
          <w:color w:val="5A7D3A"/>
          <w:sz w:val="18"/>
        </w:rPr>
        <w:t>https://pubmed.ncbi.nlm.nih.gov/42760714/</w:t>
      </w:r>
    </w:p>
    <w:p>
      <w:pPr>
        <w:pStyle w:val="Heading2"/>
      </w:pPr>
      <w:r>
        <w:t>Brustkrebs: Schwarze Frauen haben doppelt so hohe Raten für triple-negative Subtypen</w:t>
      </w:r>
    </w:p>
    <w:p>
      <w:r>
        <w:rPr>
          <w:i/>
          <w:color w:val="666666"/>
          <w:sz w:val="18"/>
        </w:rPr>
        <w:t>Barsha RAA et al.  ·  Cancer Med  ·  Sept. 2026  ·  PMID 42760641</w:t>
      </w:r>
    </w:p>
    <w:p>
      <w:r>
        <w:t>Bevölkerungsbasierte Analyse von 21.130 Brustkrebspatientinnen (64,4% Weiße, 35,6% Schwarze Frauen) zur Untersuchung von Inzidenztrends nach Rasse, Stadium und molekularem Subtyp im Zeitraum 2010–2019 in Mississippi.</w:t>
      </w:r>
    </w:p>
    <w:p>
      <w:r>
        <w:rPr>
          <w:b/>
        </w:rPr>
        <w:t xml:space="preserve">Ergebnis: </w:t>
      </w:r>
      <w:r>
        <w:t>Schwarze Frauen hatten höhere Gesamtinzidenzraten als Weiße Frauen (178,0 vs. 159,1 pro 100.000). Schwarze Frauen zeigten höhere Inzidenzraten für HER2-überexprimierende Krebserkrankungen (IRR=1,55; 95%-KI 1,15–2,10) und triple-negative Krebserkrankungen (IRR=2,35; 95%-KI 1,74–3,17). Unterschiede deuten auf biologische Heterogenität und/oder Zugangsunterschiede hin.</w:t>
      </w:r>
    </w:p>
    <w:p>
      <w:r>
        <w:rPr>
          <w:b/>
          <w:sz w:val="19"/>
        </w:rPr>
        <w:t xml:space="preserve">Übertragbarkeit: </w:t>
      </w:r>
      <w:r>
        <w:rPr>
          <w:sz w:val="19"/>
        </w:rPr>
        <w:t>USA-Daten; Rasse/Ethnizität und biologische Subtypen, aber US-spezifische Screening-Praktiken.</w:t>
      </w:r>
    </w:p>
    <w:p>
      <w:r>
        <w:rPr>
          <w:color w:val="5A7D3A"/>
          <w:sz w:val="18"/>
        </w:rPr>
        <w:t>https://pubmed.ncbi.nlm.nih.gov/42760641/</w:t>
      </w:r>
    </w:p>
    <w:p>
      <w:pPr>
        <w:pStyle w:val="Heading2"/>
      </w:pPr>
      <w:r>
        <w:t>Schlaganfall mit Herzinsuffizienz: Sterblichkeit steigt, Männer stärker betroffen</w:t>
      </w:r>
    </w:p>
    <w:p>
      <w:r>
        <w:rPr>
          <w:i/>
          <w:color w:val="666666"/>
          <w:sz w:val="18"/>
        </w:rPr>
        <w:t>Bsharat AM et al.  ·  Brain Behav  ·  Sept. 2026  ·  PMID 42755241</w:t>
      </w:r>
    </w:p>
    <w:p>
      <w:r>
        <w:t>Analyse von CDC-Todesursachendaten (1999–2023) für Erwachsene ≥15 Jahre mit Schlaganfall als Grundursache und Herzinsuffizienz als Nebendiagnose; Joinpoint-Regression zur Ermittlung von Trends und Disparitäten.</w:t>
      </w:r>
    </w:p>
    <w:p>
      <w:r>
        <w:rPr>
          <w:b/>
        </w:rPr>
        <w:t xml:space="preserve">Ergebnis: </w:t>
      </w:r>
      <w:r>
        <w:t>Die altersadjustierte Sterblichkeitsrate (AAMR) sank von 4,09 (1999) auf 2,74 (2023), stieg dann aber 2016–2023 um 5,38% jährlich. Das Männer-zu-Frauen-Verhältnis stieg signifikant 2009–2023. Schwarze Personen hatten die höchsten AAMRs. Ländliche Gebiete zeigten höhere Raten. Diese Unterschiede entstehen durch Zugangs- und Versorgungsfaktoren, Biologie nicht primär.</w:t>
      </w:r>
    </w:p>
    <w:p>
      <w:r>
        <w:rPr>
          <w:b/>
          <w:sz w:val="19"/>
        </w:rPr>
        <w:t xml:space="preserve">Übertragbarkeit: </w:t>
      </w:r>
      <w:r>
        <w:rPr>
          <w:sz w:val="19"/>
        </w:rPr>
        <w:t>USA, CDC-Daten; Geschlechts- und Rassen-Disparitäten dokumentiert, aber US-Zugangsmuster.</w:t>
      </w:r>
    </w:p>
    <w:p>
      <w:r>
        <w:rPr>
          <w:color w:val="5A7D3A"/>
          <w:sz w:val="18"/>
        </w:rPr>
        <w:t>https://pubmed.ncbi.nlm.nih.gov/42755241/</w:t>
      </w:r>
    </w:p>
    <w:p>
      <w:pPr>
        <w:pStyle w:val="Heading2"/>
      </w:pPr>
      <w:r>
        <w:t>Multiples Myelom: Sterblichkeit sank, aber rassische Disparität verdoppelt sich</w:t>
      </w:r>
    </w:p>
    <w:p>
      <w:r>
        <w:rPr>
          <w:i/>
          <w:color w:val="666666"/>
          <w:sz w:val="18"/>
        </w:rPr>
        <w:t>Ali ME et al.  ·  Cancer Causes Control  ·  18.09.2026  ·  PMID 42754761</w:t>
      </w:r>
    </w:p>
    <w:p>
      <w:r>
        <w:t>Analyse nationaler US-Sterblichkeitstrends (1999–2024) für multiples Myelom nach Geschlecht, Alter, Rasse/Ethnizität, Region und Urbanisierung; ARIMA-Modelle für Projektion bis 2034.</w:t>
      </w:r>
    </w:p>
    <w:p>
      <w:r>
        <w:rPr>
          <w:b/>
        </w:rPr>
        <w:t xml:space="preserve">Ergebnis: </w:t>
      </w:r>
      <w:r>
        <w:t>Die altersadjustierte AAMR sank von 37,6 auf 25,1 pro 1 Mio. (AAPC -1,8%; 95%-KI -2,1 bis -1,5; p&lt;0,001), beschleunigt ab 2012 (APC -3,2%). Männer hatten durchgehend höhere Raten als Frauen (32,4 vs. 19,8 pro 1 Mio. 2024). Schwarze oder afrikanisch-amerikanische Personen zeigten 2024 mehr als doppelte Mortalitätsraten gegenüber Weißen (48,0 vs. 23,5 pro 1 Mio.). Disparitäten sind für 2034 persistierend prognostiziert.</w:t>
      </w:r>
    </w:p>
    <w:p>
      <w:r>
        <w:rPr>
          <w:b/>
          <w:sz w:val="19"/>
        </w:rPr>
        <w:t xml:space="preserve">Übertragbarkeit: </w:t>
      </w:r>
      <w:r>
        <w:rPr>
          <w:sz w:val="19"/>
        </w:rPr>
        <w:t>USA; Zugangs- und Versorgungsungleichheit, nicht Biologie; US-spezifische Therapieinnovationen.</w:t>
      </w:r>
    </w:p>
    <w:p>
      <w:r>
        <w:rPr>
          <w:color w:val="5A7D3A"/>
          <w:sz w:val="18"/>
        </w:rPr>
        <w:t>https://pubmed.ncbi.nlm.nih.gov/42754761/</w:t>
      </w:r>
    </w:p>
    <w:p>
      <w:pPr>
        <w:pStyle w:val="Heading2"/>
      </w:pPr>
      <w:r>
        <w:t>LGBTQ+-Unterricht in Pflegefakultäten: Engagement schlägt Expertise</w:t>
      </w:r>
    </w:p>
    <w:p>
      <w:r>
        <w:rPr>
          <w:i/>
          <w:color w:val="666666"/>
          <w:sz w:val="18"/>
        </w:rPr>
        <w:t>Nye CM et al.  ·  J Prof Nurs  ·  30.05.2026  ·  PMID 42744418</w:t>
      </w:r>
    </w:p>
    <w:p>
      <w:r>
        <w:t>Erklärende Mischstudie mit Umfrage (Phase I, n=196 Dozenten) und Interviews (Phase II, n=19) zur Erfassung von Erfahrungen von Pflegedozenten mit LGBTQ+-Inklusion in der Lehre an US-amerikanischen Schulen.</w:t>
      </w:r>
    </w:p>
    <w:p>
      <w:r>
        <w:rPr>
          <w:b/>
        </w:rPr>
        <w:t xml:space="preserve">Ergebnis: </w:t>
      </w:r>
      <w:r>
        <w:t>Selbstvertrauen mit LGBTQ+-Inklusion und Engagement zur Aufnahme von LGBTQ+-Inhalten hatten signifikante Auswirkungen auf die Aufnahme von Gesundheitsinhalten für LGBTQ+ in den Lehrplan (p nicht angegeben, qualitative Kernaussage: Commitment und interpersonale/institutionelle Faktoren wichtiger als Expertise). Strukturelle Barrieren wie fehlende institutionelle Unterstützung waren identifizierbar, aber überwindbar.</w:t>
      </w:r>
    </w:p>
    <w:p>
      <w:r>
        <w:rPr>
          <w:b/>
          <w:sz w:val="19"/>
        </w:rPr>
        <w:t xml:space="preserve">Übertragbarkeit: </w:t>
      </w:r>
      <w:r>
        <w:rPr>
          <w:sz w:val="19"/>
        </w:rPr>
        <w:t>USA; unterrichtsbasierte Intervention mit Vorkehrungspotential, aber US-Lehrkontext.</w:t>
      </w:r>
    </w:p>
    <w:p>
      <w:r>
        <w:rPr>
          <w:color w:val="5A7D3A"/>
          <w:sz w:val="18"/>
        </w:rPr>
        <w:t>https://pubmed.ncbi.nlm.nih.gov/42744418/</w:t>
      </w:r>
    </w:p>
    <w:p>
      <w:pPr>
        <w:pStyle w:val="Heading1"/>
      </w:pPr>
      <w:r>
        <w:t>Aufgenommen am 19.09.2026</w:t>
      </w:r>
    </w:p>
    <w:p>
      <w:pPr>
        <w:pStyle w:val="Heading2"/>
      </w:pPr>
      <w:r>
        <w:t>Mammografie: 45-Minuten-Training für Radiologen erhöht Wissen über trans Patienten signifikant</w:t>
      </w:r>
    </w:p>
    <w:p>
      <w:r>
        <w:rPr>
          <w:i/>
          <w:color w:val="666666"/>
          <w:sz w:val="18"/>
        </w:rPr>
        <w:t>Martinez A et al.  ·  Cancer Causes Control  ·  18.09.2026  ·  PMID 42758345</w:t>
      </w:r>
    </w:p>
    <w:p>
      <w:r>
        <w:t>Pilotstudie zur Evaluation einer Schulungsintervention für Brustbildgebungsfachleute (klinische Unterstützungsfachleute, Technologen, Radiologen) zu LGBTQIA+-inklusive Mammografie-Screening-Praktiken.</w:t>
      </w:r>
    </w:p>
    <w:p>
      <w:r>
        <w:rPr>
          <w:b/>
        </w:rPr>
        <w:t xml:space="preserve">Ergebnis: </w:t>
      </w:r>
      <w:r>
        <w:t>Die 45-minütige Schulung mit Storytelling führte zu signifikant erhöhtem Selbstberichtswissen über LGBTQIA+-Terminologie (großer Effekt). Teilnehmende beantworteten mehr direkt getestete Wissensfragen korrekt (kleiner Effekt). Einstellungen zu Geschlechtsvielfalt zeigten Trend zu akzeptierender Haltung (mittlerer Effekt), erreichten aber keine statistische Signifikanz.</w:t>
      </w:r>
    </w:p>
    <w:p>
      <w:r>
        <w:rPr>
          <w:b/>
          <w:sz w:val="19"/>
        </w:rPr>
        <w:t xml:space="preserve">Übertragbarkeit: </w:t>
      </w:r>
      <w:r>
        <w:rPr>
          <w:sz w:val="19"/>
        </w:rPr>
        <w:t>USA, aber Schulungsprinzipien unabhängig von Finanzierungssystem übertragbar</w:t>
      </w:r>
    </w:p>
    <w:p>
      <w:r>
        <w:rPr>
          <w:color w:val="5A7D3A"/>
          <w:sz w:val="18"/>
        </w:rPr>
        <w:t>https://pubmed.ncbi.nlm.nih.gov/42758345/</w:t>
      </w:r>
    </w:p>
    <w:p>
      <w:pPr>
        <w:pStyle w:val="Heading2"/>
      </w:pPr>
      <w:r>
        <w:t>Rettungsdienst: LGBTQ-Kompetenz hängt nicht von Geschlecht ab, sondern von Schulung</w:t>
      </w:r>
    </w:p>
    <w:p>
      <w:r>
        <w:rPr>
          <w:i/>
          <w:color w:val="666666"/>
          <w:sz w:val="18"/>
        </w:rPr>
        <w:t>Czapla M et al.  ·  Front Public Health  ·  03.09.2026  ·  PMID 42756002</w:t>
      </w:r>
    </w:p>
    <w:p>
      <w:r>
        <w:t>Querschnittstudie unter 172 polnischen Rettungsassistenten zur Identifikation von Faktoren, die gay-affirmativen Überzeugungen und Verhalten vorhersagen.</w:t>
      </w:r>
    </w:p>
    <w:p>
      <w:r>
        <w:rPr>
          <w:b/>
        </w:rPr>
        <w:t xml:space="preserve">Ergebnis: </w:t>
      </w:r>
      <w:r>
        <w:t>Höhere LGBTQ-Klinische Kompetenz war unabhängig mit affirmativen Überzeugungen (β = 3,85, 95%-KI 1,21–6,50, p = 0,005) und Verhalten (β = 7,29, 95%-KI 4,62–9,96, p &lt; 0,001) assoziiert. Rechtsgerichtete politische Orientierung war mit niedrigeren affirmativen Überzeugungen (β = −12,26, p &lt; 0,001) und Verhalten (β = −6,74, p = 0,013) assoziiert. LGBT-Klinische Kompetenz war der konsistenteste Prädiktor.</w:t>
      </w:r>
    </w:p>
    <w:p>
      <w:r>
        <w:rPr>
          <w:b/>
          <w:sz w:val="19"/>
        </w:rPr>
        <w:t xml:space="preserve">Übertragbarkeit: </w:t>
      </w:r>
      <w:r>
        <w:rPr>
          <w:sz w:val="19"/>
        </w:rPr>
        <w:t>Polen, europäisches Gesundheitssystem, nachweisbar Schulungseffekt</w:t>
      </w:r>
    </w:p>
    <w:p>
      <w:r>
        <w:rPr>
          <w:color w:val="5A7D3A"/>
          <w:sz w:val="18"/>
        </w:rPr>
        <w:t>https://pubmed.ncbi.nlm.nih.gov/42756002/</w:t>
      </w:r>
    </w:p>
    <w:p>
      <w:pPr>
        <w:pStyle w:val="Heading2"/>
      </w:pPr>
      <w:r>
        <w:t>Bewusstseinsstörungen: Testosteron zeigt Assoziationen mit besseren Ergebnissen bei Männern, nicht bei Frauen</w:t>
      </w:r>
    </w:p>
    <w:p>
      <w:r>
        <w:rPr>
          <w:i/>
          <w:color w:val="666666"/>
          <w:sz w:val="18"/>
        </w:rPr>
        <w:t>Xia D et al.  ·  Front Neurol  ·  03.09.2026  ·  PMID 42755585</w:t>
      </w:r>
    </w:p>
    <w:p>
      <w:r>
        <w:t>Retrospektive Geschlechts-stratifizierte Studie zu Serum-Sexualhormonen als potenzielle prognostische Biomarker bei 119 Patienten mit prolongiertem Bewusstsein und Bewusstseinsbeeinträchtigung (pDoC).</w:t>
      </w:r>
    </w:p>
    <w:p>
      <w:r>
        <w:rPr>
          <w:b/>
        </w:rPr>
        <w:t xml:space="preserve">Ergebnis: </w:t>
      </w:r>
      <w:r>
        <w:t>Bei Männern zeigte die Gruppe mit gutem Outcome höhere Testosteronspiegel (p = 0,02). Nach logistischer Regression adjustiert für Alter, Krankheitsdauer und Ätiologie war log-transformiertes Testosteron mit günstigen Outcomes assoziiert (OR 2,97, 95%-KI 1,29–7,70, p = 0,02), überstand aber Bonferroni-Korrektur nicht (p_bonf = 0,10). Bei Frauen zeigten Sexualhormone keine klare prognostische Bedeutung. ROC-Analyse zeigte nur bescheidene Vorhersagekraft (AUC 0,656).</w:t>
      </w:r>
    </w:p>
    <w:p>
      <w:r>
        <w:rPr>
          <w:b/>
          <w:sz w:val="19"/>
        </w:rPr>
        <w:t xml:space="preserve">Übertragbarkeit: </w:t>
      </w:r>
      <w:r>
        <w:rPr>
          <w:sz w:val="19"/>
        </w:rPr>
        <w:t>China, biologische Geschlechtsunterschiede, aber geringe klinische Prädiktivität</w:t>
      </w:r>
    </w:p>
    <w:p>
      <w:r>
        <w:rPr>
          <w:color w:val="5A7D3A"/>
          <w:sz w:val="18"/>
        </w:rPr>
        <w:t>https://pubmed.ncbi.nlm.nih.gov/42755585/</w:t>
      </w:r>
    </w:p>
    <w:p>
      <w:pPr>
        <w:pStyle w:val="Heading2"/>
      </w:pPr>
      <w:r>
        <w:t>Blutdruck und Schlaf: Geschlechtsunterschiede in Schlafstörungen und Blutdruckrisiko erklären teilweise höheres Hypertonie-Risiko</w:t>
      </w:r>
    </w:p>
    <w:p>
      <w:r>
        <w:rPr>
          <w:i/>
          <w:color w:val="666666"/>
          <w:sz w:val="18"/>
        </w:rPr>
        <w:t>Matos do Amaral T et al.  ·  Curr Hypertens Rep  ·  16.09.2026  ·  PMID 42744939</w:t>
      </w:r>
    </w:p>
    <w:p>
      <w:r>
        <w:t>Systematischer Review der Assoziationen zwischen Schlaf und Bluthochdruck mit Betonung von Geschlechtsunterschieden in der Blutdruckregulation.</w:t>
      </w:r>
    </w:p>
    <w:p>
      <w:r>
        <w:rPr>
          <w:b/>
        </w:rPr>
        <w:t xml:space="preserve">Ergebnis: </w:t>
      </w:r>
      <w:r>
        <w:t>Schlaf ist ein modifizierbarer Risikofaktor für Hypertonie. Schlafqualität, -dauer und Schlafstörungen (Insomnie, Schlafapnoe) sind mit erhöhtem Blutdruck assoziiert, mit geschlechtsspezifischen Unterschieden. Sex-spezifische hormonelle Einflüsse und autonome Dysfunktion tragen zu Unterschieden in den Assoziationen zwischen Schlafstörungen und Hypertonie-Risiko bei Männern und Frauen bei. Schlaf sollte als klinisch relevantes Ziel in die kardiovaskuläre Risikoeinschätzung einbezogen werden.</w:t>
      </w:r>
    </w:p>
    <w:p>
      <w:r>
        <w:rPr>
          <w:b/>
          <w:sz w:val="19"/>
        </w:rPr>
        <w:t xml:space="preserve">Übertragbarkeit: </w:t>
      </w:r>
      <w:r>
        <w:rPr>
          <w:sz w:val="19"/>
        </w:rPr>
        <w:t>Überwiegend USA-Studien, aber Physiologie geschlechtsunabhängig</w:t>
      </w:r>
    </w:p>
    <w:p>
      <w:r>
        <w:rPr>
          <w:color w:val="5A7D3A"/>
          <w:sz w:val="18"/>
        </w:rPr>
        <w:t>https://pubmed.ncbi.nlm.nih.gov/42744939/</w:t>
      </w:r>
    </w:p>
    <w:p>
      <w:pPr>
        <w:pStyle w:val="Heading2"/>
      </w:pPr>
      <w:r>
        <w:t>Blasenkrebs: Frauen zeigen unter Enfortumab Vedotin bessere progressionsfreie Überlebensraten</w:t>
      </w:r>
    </w:p>
    <w:p>
      <w:r>
        <w:rPr>
          <w:i/>
          <w:color w:val="666666"/>
          <w:sz w:val="18"/>
        </w:rPr>
        <w:t>Schneidewind L et al.  ·  Clin Genitourin Cancer  ·  30.06.2026  ·  PMID 42502035</w:t>
      </w:r>
    </w:p>
    <w:p>
      <w:r>
        <w:t>Systematische Übersicht mit Metaanalyse von 17 Studien zu Geschlechtsunterschieden im Gesamtüberleben, progressionsfreien Überleben und krankheitsfreiem Überleben nach Enfortumab-Vedotin-Therapie bei fortgeschrittenem Urothelkarzinom.</w:t>
      </w:r>
    </w:p>
    <w:p>
      <w:r>
        <w:rPr>
          <w:b/>
        </w:rPr>
        <w:t xml:space="preserve">Ergebnis: </w:t>
      </w:r>
      <w:r>
        <w:t>Frauen zeigten gegenüber Männern bessere progressionsfreie Überlebensraten (HR 0,67, 95%-KI 0,57–0,78, p &lt; 0,001), wobei Publikationsbias identifiziert wurde. Für Gesamtüberleben ergab sich kein signifikanter Unterschied (HR 0,88, 95%-KI 0,73–1,06, p = 0,17). Die Autoren betonen, dass explizite geschlechtsspezifische Analysen von Hormonal- und genetischen Aspekten nötig sind.</w:t>
      </w:r>
    </w:p>
    <w:p>
      <w:r>
        <w:rPr>
          <w:b/>
          <w:sz w:val="19"/>
        </w:rPr>
        <w:t xml:space="preserve">Übertragbarkeit: </w:t>
      </w:r>
      <w:r>
        <w:rPr>
          <w:sz w:val="19"/>
        </w:rPr>
        <w:t>Deutschland, vergleichbare Dokumentationspflichten in Krebsregistern</w:t>
      </w:r>
    </w:p>
    <w:p>
      <w:r>
        <w:rPr>
          <w:color w:val="5A7D3A"/>
          <w:sz w:val="18"/>
        </w:rPr>
        <w:t>https://pubmed.ncbi.nlm.nih.gov/42502035/</w:t>
      </w:r>
    </w:p>
    <w:p>
      <w:pPr>
        <w:pStyle w:val="Heading2"/>
      </w:pPr>
      <w:r>
        <w:t>Vorsorge vor Schwangerschaft: Frauen tragen überproportional die Last, Männer fehlen völlig</w:t>
      </w:r>
    </w:p>
    <w:p>
      <w:r>
        <w:rPr>
          <w:i/>
          <w:color w:val="666666"/>
          <w:sz w:val="18"/>
        </w:rPr>
        <w:t>Hickman ME et al.  ·  Reprod Health  ·  30.06.2026  ·  PMID 42381006</w:t>
      </w:r>
    </w:p>
    <w:p>
      <w:r>
        <w:t>Qualitative Hybrid-Workshopstudie mit 60 Akademikern, Gesundheitsberuflern und Bürgern zur Frage, wer Verantwortung für Gesundheitsverbesserung vor der Schwangerschaft trägt.</w:t>
      </w:r>
    </w:p>
    <w:p>
      <w:r>
        <w:rPr>
          <w:b/>
        </w:rPr>
        <w:t xml:space="preserve">Ergebnis: </w:t>
      </w:r>
      <w:r>
        <w:t>Teilnehmende identifizierten, dass Frauen überproportional die Verantwortung für Präkonzeptionsgesundheit tragen, was sich in Forschung, Gesundheitswesen und Gesellschaft widerspiegelt. Empfehlungen zielten auf: (1) Gesellschafts-, Gemeinschafts- und Kulturveränderung, (2) Bildung und frühes Bewusstsein, (3) zukünftige Forschung, (4) Systemebenen- und Politiklösungen mit Schwerpunkt auf gleichberechtigte Partnereinbeziehung.</w:t>
      </w:r>
    </w:p>
    <w:p>
      <w:r>
        <w:rPr>
          <w:b/>
          <w:sz w:val="19"/>
        </w:rPr>
        <w:t xml:space="preserve">Übertragbarkeit: </w:t>
      </w:r>
      <w:r>
        <w:rPr>
          <w:sz w:val="19"/>
        </w:rPr>
        <w:t>UK/EMCR-Netzwerk, europäisch übertragbar, zeigt Zugangsbarriere und Zuschreibung</w:t>
      </w:r>
    </w:p>
    <w:p>
      <w:r>
        <w:rPr>
          <w:color w:val="5A7D3A"/>
          <w:sz w:val="18"/>
        </w:rPr>
        <w:t>https://pubmed.ncbi.nlm.nih.gov/42381006/</w:t>
      </w:r>
    </w:p>
    <w:p>
      <w:pPr>
        <w:pStyle w:val="Heading1"/>
      </w:pPr>
      <w:r>
        <w:t>Aufgenommen am 18.09.2026</w:t>
      </w:r>
    </w:p>
    <w:p>
      <w:pPr>
        <w:pStyle w:val="Heading2"/>
      </w:pPr>
      <w:r>
        <w:t>Herzinsuffizienz mit erhaltener Ejektionsfraktion: Frauen zeigen andere Phänotypen und Risikofaktoren</w:t>
      </w:r>
    </w:p>
    <w:p>
      <w:r>
        <w:rPr>
          <w:i/>
          <w:color w:val="666666"/>
          <w:sz w:val="18"/>
        </w:rPr>
        <w:t>Kim SJ et al.  ·  Korean J Intern Med  ·  01.09.2026  ·  PMID 42754518</w:t>
      </w:r>
    </w:p>
    <w:p>
      <w:r>
        <w:t>Geschlechtsspezifische klinische Übersichtsarbeit zu Pathophysiologie, Präsentation und Therapieresponse der HFpEF mit biologischen Unterschieden zwischen Frauen und Männern.</w:t>
      </w:r>
    </w:p>
    <w:p>
      <w:r>
        <w:rPr>
          <w:b/>
        </w:rPr>
        <w:t xml:space="preserve">Ergebnis: </w:t>
      </w:r>
      <w:r>
        <w:t>Bei Frauen ist HFpEF häufig mit kardiometabolischem Stress, vaskulärer Dysfunktion und erhöhtem ventrikulär-arteriellem Coupling verbunden (konzentrische Remodellierung, ausgeprägtes Symptombild). Bei Männern überwiegt ein Ischämie-assoziierter Phänotyp mit adversen Umbauprozessen und diffuser myokardialer Fibrose. Diese biologischen Unterschiede beeinflussen Klinik, Biomarker-Interpretation, bildgebende Befunde und Langzeitergebnisse; neurohormonal modulierende Interventionen können differentielle Wirksamkeit zeigen.</w:t>
      </w:r>
    </w:p>
    <w:p>
      <w:r>
        <w:rPr>
          <w:b/>
          <w:sz w:val="19"/>
        </w:rPr>
        <w:t xml:space="preserve">Übertragbarkeit: </w:t>
      </w:r>
      <w:r>
        <w:rPr>
          <w:sz w:val="19"/>
        </w:rPr>
        <w:t>Südkorea, pathophysiologische Unterschiede biologisch begründet; auf AWMF-Leitlinien HFpEF anwendbar</w:t>
      </w:r>
    </w:p>
    <w:p>
      <w:r>
        <w:rPr>
          <w:color w:val="5A7D3A"/>
          <w:sz w:val="18"/>
        </w:rPr>
        <w:t>https://pubmed.ncbi.nlm.nih.gov/42754518/</w:t>
      </w:r>
    </w:p>
    <w:p>
      <w:pPr>
        <w:pStyle w:val="Heading2"/>
      </w:pPr>
      <w:r>
        <w:t>Geschlecht und Gender in Leitlinien: Evidence Gaps und Politisierung behindern Integration</w:t>
      </w:r>
    </w:p>
    <w:p>
      <w:r>
        <w:rPr>
          <w:i/>
          <w:color w:val="666666"/>
          <w:sz w:val="18"/>
        </w:rPr>
        <w:t>Maheen H et al.  ·  BMJ Open  ·  17.09.2026  ·  PMID 42754283</w:t>
      </w:r>
    </w:p>
    <w:p>
      <w:r>
        <w:t>Qualitative Studie mit 28 Experten zu aktuellen Herausforderungen, Barrieren und praktischen Strategien für die Einbeziehung von Geschlecht in klinische Leitlinien.</w:t>
      </w:r>
    </w:p>
    <w:p>
      <w:r>
        <w:rPr>
          <w:b/>
        </w:rPr>
        <w:t xml:space="preserve">Ergebnis: </w:t>
      </w:r>
      <w:r>
        <w:t>Zwei zentrale Herausforderungen wurden identifiziert: (1) persistente Evidence Gaps mit mangelnden geschlechtergetrennten klinischen Daten, nur 5 % der Fachleute beantworteten alle LGBTQIA+-Fragen korrekt, 40 % berichteten Schwierigkeiten bei sexueller Gesundheit, 80 % wünschten LGBTQIA+-Schulung; (2) Politisierung von Terminology behindert Klarheit und Konsistenz. Empfohlen: stärkere geschlechts- und gendergetrennte Evidenz, klare Berichtstandards, inklusive Sprache und höherer Frauenanteil in Leitliniengremien sowie intersektionaler Ansatz. Das adressiert die methodische Grundproblematik dieser Versorgungsgruppe.</w:t>
      </w:r>
    </w:p>
    <w:p>
      <w:r>
        <w:rPr>
          <w:b/>
          <w:sz w:val="19"/>
        </w:rPr>
        <w:t xml:space="preserve">Übertragbarkeit: </w:t>
      </w:r>
      <w:r>
        <w:rPr>
          <w:sz w:val="19"/>
        </w:rPr>
        <w:t>Australien, international übertragbar; zeigt Leitlinien-Implementierungsbarrieren und notwendige Strukturreformen</w:t>
      </w:r>
    </w:p>
    <w:p>
      <w:r>
        <w:rPr>
          <w:color w:val="5A7D3A"/>
          <w:sz w:val="18"/>
        </w:rPr>
        <w:t>https://pubmed.ncbi.nlm.nih.gov/42754283/</w:t>
      </w:r>
    </w:p>
    <w:p>
      <w:pPr>
        <w:pStyle w:val="Heading2"/>
      </w:pPr>
      <w:r>
        <w:t>Fußball-Gesundheitsprogramm: Wie Männer über Freizeitaktivitäten erreicht werden</w:t>
      </w:r>
    </w:p>
    <w:p>
      <w:r>
        <w:rPr>
          <w:i/>
          <w:color w:val="666666"/>
          <w:sz w:val="18"/>
        </w:rPr>
        <w:t>McDermott C et al.  ·  Health Promot Int  ·  01.09.2026  ·  PMID 42751981</w:t>
      </w:r>
    </w:p>
    <w:p>
      <w:r>
        <w:t>Qualitative Analyse, wie ein irisches Fußball-Kooperativ-Programm Männer mit höchstem Gesundheitsrisiko durch Geschlechtskultur und Organisationskultur erreicht und in Gesundheitsveränderung einbezieht.</w:t>
      </w:r>
    </w:p>
    <w:p>
      <w:r>
        <w:rPr>
          <w:b/>
        </w:rPr>
        <w:t xml:space="preserve">Ergebnis: </w:t>
      </w:r>
      <w:r>
        <w:t>Reflexive thematische Analyse von 33 Interviews ergab drei Themen: (1) Fußball funktioniert als kulturelle Annahme in Männeridentität ohne Gesundheitsrahmen; (2) die Organisationskultur der FC-Spiele passt zu und erhält bestehende Bedeutungsmuster durch Design, Zuverlässigkeit und inklusive Normen; (3) wenn diese Kulturen übereinstimmen, erleben Männer, die konventionelle Gesundheitsrouten meiden, bedeutungsvolle Gesundheits- und Sozialergebnisse. Dies zeigt einen Zugangsweg und eine Versorgungsmassnahme an – Geschlecht prägt sowohl die Barriere als auch die Lösung.</w:t>
      </w:r>
    </w:p>
    <w:p>
      <w:r>
        <w:rPr>
          <w:b/>
          <w:sz w:val="19"/>
        </w:rPr>
        <w:t xml:space="preserve">Übertragbarkeit: </w:t>
      </w:r>
      <w:r>
        <w:rPr>
          <w:sz w:val="19"/>
        </w:rPr>
        <w:t>Irland, ähnliches Versicherungssystem; zeigt Versorgungszugangsbarriere und Lösungsweg für Männergesundheit</w:t>
      </w:r>
    </w:p>
    <w:p>
      <w:r>
        <w:rPr>
          <w:color w:val="5A7D3A"/>
          <w:sz w:val="18"/>
        </w:rPr>
        <w:t>https://pubmed.ncbi.nlm.nih.gov/42751981/</w:t>
      </w:r>
    </w:p>
    <w:p>
      <w:pPr>
        <w:pStyle w:val="Heading2"/>
      </w:pPr>
      <w:r>
        <w:t>Lithium: Frauen benötigen niedrigere Dosen, Dosisanpassung in der Schwangerschaft erforderlich</w:t>
      </w:r>
    </w:p>
    <w:p>
      <w:r>
        <w:rPr>
          <w:i/>
          <w:color w:val="666666"/>
          <w:sz w:val="18"/>
        </w:rPr>
        <w:t>Papapanagou Chroni M et al.  ·  Rev Med Suisse  ·  16.09.2026  ·  PMID 42750579</w:t>
      </w:r>
    </w:p>
    <w:p>
      <w:r>
        <w:t>Geschlechtsspezifische Dosierung von Lithium und Besonderheiten in der Perinatalzeit: Frauen benötigen niedrigere Dosen als Männer und haben erhöhtes Risiko für Nieren- und Schilddrüsennebenwirkungen.</w:t>
      </w:r>
    </w:p>
    <w:p>
      <w:r>
        <w:rPr>
          <w:b/>
        </w:rPr>
        <w:t xml:space="preserve">Ergebnis: </w:t>
      </w:r>
      <w:r>
        <w:t>Frauen benötigen niedrigere Lithium-Dosen als Männer. In der Schwangerschaft steigt die Lithium-Clearance um 30–50 %, weshalb häufige Dosisanpassungen auf therapeutische Serumkonzentrationen von 0,6–1,0 mmol/l erforderlich sind. Lithium ist mit moderatem erhöhtem Malformationsrisiko assoziiert (OR: 1,75–1,81), besonders kardiale Missbildungen, aber das absolute Risiko bleibt niedrig. Dies zeigt biologisch und pharmakokinetisch bedingte Unterschiede, die Dosierungsempfehlungen nach Geschlecht erfordern.</w:t>
      </w:r>
    </w:p>
    <w:p>
      <w:r>
        <w:rPr>
          <w:b/>
          <w:sz w:val="19"/>
        </w:rPr>
        <w:t xml:space="preserve">Übertragbarkeit: </w:t>
      </w:r>
      <w:r>
        <w:rPr>
          <w:sz w:val="19"/>
        </w:rPr>
        <w:t>Schweiz/deutschsprachig, vergleichbare Versicherungssysteme, psychiatrische Standardpraxis</w:t>
      </w:r>
    </w:p>
    <w:p>
      <w:r>
        <w:rPr>
          <w:color w:val="5A7D3A"/>
          <w:sz w:val="18"/>
        </w:rPr>
        <w:t>https://pubmed.ncbi.nlm.nih.gov/42750579/</w:t>
      </w:r>
    </w:p>
    <w:p>
      <w:pPr>
        <w:pStyle w:val="Heading2"/>
      </w:pPr>
      <w:r>
        <w:t>Kreatinin-Referenzwerte bei Down-Syndrom: Geschlechts- und altersgerechte Kurven erforderlich</w:t>
      </w:r>
    </w:p>
    <w:p>
      <w:r>
        <w:rPr>
          <w:i/>
          <w:color w:val="666666"/>
          <w:sz w:val="18"/>
        </w:rPr>
        <w:t>Gür K et al.  ·  Eur J Pediatr  ·  16.09.2026  ·  PMID 42749794</w:t>
      </w:r>
    </w:p>
    <w:p>
      <w:r>
        <w:t>Entwicklung alters- und geschlechtsspezifischer Serum-Kreatinin-Referenzkurven für Kinder und Jugendliche mit Down-Syndrom zur verbesserten Nierenmonitorierung.</w:t>
      </w:r>
    </w:p>
    <w:p>
      <w:r>
        <w:rPr>
          <w:b/>
        </w:rPr>
        <w:t xml:space="preserve">Ergebnis: </w:t>
      </w:r>
      <w:r>
        <w:t>Serum-Kreatinin stieg nichtlinear mit dem Alter in beiden Geschlechtern mit progressiver Geschlechtertrennung in der Adoleszenz. Die 97,5. Perzentile betrug bei Jungen 0,44 mg/dL (39 μmol/L) in der frühen Kindheit und 1,32 mg/dL (117 μmol/L) mit 17–18 Jahren; bei Mädchen 0,42 mg/dL (37 μmol/L) bzw. 1,01 mg/dL (89 μmol/L). Dies zeigt biologische Unterschiede in der Nierenfunktion, die für die korrekte Interpretation von Kreatininwerten essentiell sind.</w:t>
      </w:r>
    </w:p>
    <w:p>
      <w:r>
        <w:rPr>
          <w:b/>
          <w:sz w:val="19"/>
        </w:rPr>
        <w:t xml:space="preserve">Übertragbarkeit: </w:t>
      </w:r>
      <w:r>
        <w:rPr>
          <w:sz w:val="19"/>
        </w:rPr>
        <w:t>Türkei, größere Kohorte; geschlechtergetrennte Daten mit GAMLSS-Modellierung, methodisch übertragbar</w:t>
      </w:r>
    </w:p>
    <w:p>
      <w:r>
        <w:rPr>
          <w:color w:val="5A7D3A"/>
          <w:sz w:val="18"/>
        </w:rPr>
        <w:t>https://pubmed.ncbi.nlm.nih.gov/42749794/</w:t>
      </w:r>
    </w:p>
    <w:p>
      <w:pPr>
        <w:pStyle w:val="Heading2"/>
      </w:pPr>
      <w:r>
        <w:t>Depression bei trans Frauen mit HIV: Strukturelle Determinanten schwerer als individuelle Faktoren</w:t>
      </w:r>
    </w:p>
    <w:p>
      <w:r>
        <w:rPr>
          <w:i/>
          <w:color w:val="666666"/>
          <w:sz w:val="18"/>
        </w:rPr>
        <w:t>Van Huizen R et al.  ·  AIDS Behav  ·  05.06.2026  ·  PMID 42249232</w:t>
      </w:r>
    </w:p>
    <w:p>
      <w:r>
        <w:t>Bestimmung individueller, sozialer und struktureller Determinanten von Depression bei 493 transgeschlechtlichen Frauen mit HIV in Frankreich mittels modifizierter Poisson-Regression.</w:t>
      </w:r>
    </w:p>
    <w:p>
      <w:r>
        <w:rPr>
          <w:b/>
        </w:rPr>
        <w:t xml:space="preserve">Ergebnis: </w:t>
      </w:r>
      <w:r>
        <w:t>Ein Drittel (31 %) der Teilnehmerinnen zeigte moderate bis schwere Depression (PHQ-9 ≥ 8). Risikofaktoren in multivariater Analyse: Lebenslanges Gewalt erlebnis, Belästigung durch Fremde in öffentlichen Räumen wegen transgender Identität, finanzielle Schwierigkeiten, lange Verzögerung zwischen HIV-Diagnose und Therapiebeginn. Protektiv wirkten emotionale Unterstützung und aufmerksame HIV-Versorger. Das zeigt, dass soziale und strukturelle, nicht individuelle Faktoren dominieren – eine Zugangsbarrierenfrage, nicht primär biologisch begründet.</w:t>
      </w:r>
    </w:p>
    <w:p>
      <w:r>
        <w:rPr>
          <w:b/>
          <w:sz w:val="19"/>
        </w:rPr>
        <w:t xml:space="preserve">Übertragbarkeit: </w:t>
      </w:r>
      <w:r>
        <w:rPr>
          <w:sz w:val="19"/>
        </w:rPr>
        <w:t>Frankreich, europäisches System; INSERM-Kohorte mit quantitativen Strukturdaten</w:t>
      </w:r>
    </w:p>
    <w:p>
      <w:r>
        <w:rPr>
          <w:color w:val="5A7D3A"/>
          <w:sz w:val="18"/>
        </w:rPr>
        <w:t>https://pubmed.ncbi.nlm.nih.gov/42249232/</w:t>
      </w:r>
    </w:p>
    <w:p>
      <w:pPr>
        <w:pStyle w:val="Heading1"/>
      </w:pPr>
      <w:r>
        <w:t>Aufgenommen am 17.09.2026</w:t>
      </w:r>
    </w:p>
    <w:p>
      <w:pPr>
        <w:pStyle w:val="Heading2"/>
      </w:pPr>
      <w:r>
        <w:t>Testosterontherapie erhöht Infektionsvulnerabilität: ACE2- und TMPRSS2-Expression in Nasengewebe</w:t>
      </w:r>
    </w:p>
    <w:p>
      <w:r>
        <w:rPr>
          <w:i/>
          <w:color w:val="666666"/>
          <w:sz w:val="18"/>
        </w:rPr>
        <w:t>Uysal S et al.  ·  Endocrine  ·  16.09.2026  ·  PMID 42747672</w:t>
      </w:r>
    </w:p>
    <w:p>
      <w:r>
        <w:t>Türkische prospektive Studie untersuchte, wie Geschlechtsangleichende Hormontherapie die Expression von Rezeptoren für Viruseindringen (ACE2, TMPRSS2) in Nasen- und Mundschleimhaut verändert – relevant für Infektionsrisiko.</w:t>
      </w:r>
    </w:p>
    <w:p>
      <w:r>
        <w:rPr>
          <w:b/>
        </w:rPr>
        <w:t xml:space="preserve">Ergebnis: </w:t>
      </w:r>
      <w:r>
        <w:t>Bei AFAB-Personen unter Testosterontherapie stieg TMPRSS2-Expression in der Nasenschleimhaut nach 12 Monaten signifikant an (p=0,008), war aber in der Mundschleimhaut stabil (p=0,810). Nach Testosterontherapie war nasale TMPRSS2-Expression in AFAB höher als in cisgender Männern, Unterschied nicht signifikant (p=0,290). Signifikante Korrelation zwischen ACE2 und TMPRSS2 nur in Nasenschleimhaut nach einem Jahr.</w:t>
      </w:r>
    </w:p>
    <w:p>
      <w:r>
        <w:rPr>
          <w:b/>
          <w:sz w:val="19"/>
        </w:rPr>
        <w:t xml:space="preserve">Übertragbarkeit: </w:t>
      </w:r>
      <w:r>
        <w:rPr>
          <w:sz w:val="19"/>
        </w:rPr>
        <w:t>Biologischer Wirkmechanismus; Testosteron als Expositionsfaktor. Relevanz für geschlechtsangleichende Behandlung unklar, weitere Studien nötig.</w:t>
      </w:r>
    </w:p>
    <w:p>
      <w:r>
        <w:rPr>
          <w:color w:val="5A7D3A"/>
          <w:sz w:val="18"/>
        </w:rPr>
        <w:t>https://pubmed.ncbi.nlm.nih.gov/42747672/</w:t>
      </w:r>
    </w:p>
    <w:p>
      <w:pPr>
        <w:pStyle w:val="Heading2"/>
      </w:pPr>
      <w:r>
        <w:t>Roboter-assistierte Dickdarmresektion: Frauen zeigen unterschiedliche Lymphknoten-Ausbeute</w:t>
      </w:r>
    </w:p>
    <w:p>
      <w:r>
        <w:rPr>
          <w:i/>
          <w:color w:val="666666"/>
          <w:sz w:val="18"/>
        </w:rPr>
        <w:t>Benlice C et al.  ·  Int J Med Robot  ·  Okt. 2026  ·  PMID 42747085</w:t>
      </w:r>
    </w:p>
    <w:p>
      <w:r>
        <w:t>Türkische Mehrzentrums-Studie mit geschlechtsstratifizierter Analyse verglich Ergebnisse der roboter-assistierten versus laparoskopischen Low-Anterior-Resektion bei Rektumkrebs zwischen Männern und Frauen.</w:t>
      </w:r>
    </w:p>
    <w:p>
      <w:r>
        <w:rPr>
          <w:b/>
        </w:rPr>
        <w:t xml:space="preserve">Ergebnis: </w:t>
      </w:r>
      <w:r>
        <w:t>Bei 380 Patienten (172 Männer, 114 Frauen, Mittel-Alter 61 Jahre): Bei Männern waren robotische und laparoskopische Operation vergleichbar (Lymphknoten, Resektionsränder, Morbidität, lokales Rezidiv, alle p&gt;0,05). Bei Frauen zeigte roboterassistierte Operation signifikant weniger Lymphknoten pro Präparat (p=0,01), aber gleichwertige 5-Jahres-Überlebensraten zwischen Verfahren in beiden Geschlechtern.</w:t>
      </w:r>
    </w:p>
    <w:p>
      <w:r>
        <w:rPr>
          <w:b/>
          <w:sz w:val="19"/>
        </w:rPr>
        <w:t xml:space="preserve">Übertragbarkeit: </w:t>
      </w:r>
      <w:r>
        <w:rPr>
          <w:sz w:val="19"/>
        </w:rPr>
        <w:t>Technische Unterschiede in Handhabung zwischen Geschlechtern möglich; Geschlechterunterschiede deuten auf Biologie hin (Beckengeometrie, Organverhältnisse), nicht auf Qualität.</w:t>
      </w:r>
    </w:p>
    <w:p>
      <w:r>
        <w:rPr>
          <w:color w:val="5A7D3A"/>
          <w:sz w:val="18"/>
        </w:rPr>
        <w:t>https://pubmed.ncbi.nlm.nih.gov/42747085/</w:t>
      </w:r>
    </w:p>
    <w:p>
      <w:pPr>
        <w:pStyle w:val="Heading2"/>
      </w:pPr>
      <w:r>
        <w:t>Chemsex bei schwulen Männern: Gebrauchsmuster bestimmen STI-Risiko stärker als bloße Häufigkeit</w:t>
      </w:r>
    </w:p>
    <w:p>
      <w:r>
        <w:rPr>
          <w:i/>
          <w:color w:val="666666"/>
          <w:sz w:val="18"/>
        </w:rPr>
        <w:t>Jaha B et al.  ·  J Int AIDS Soc  ·  Sept. 2026  ·  PMID 42740683</w:t>
      </w:r>
    </w:p>
    <w:p>
      <w:r>
        <w:t>Schweizer Längsstuitstudie (107.855 Visiten, 13.304 schwule/bisexuelle Männer mit HIV oder PrEP 2019-2024) untersuchte, welche Substanzen, Häufigkeitsmuster und Risikofaktoren Chemsex-Gebrauch vorhersagen und wie er mit Geschlechtskrankheiten und psychischer Belastung zusammenhängt.</w:t>
      </w:r>
    </w:p>
    <w:p>
      <w:r>
        <w:rPr>
          <w:b/>
        </w:rPr>
        <w:t xml:space="preserve">Ergebnis: </w:t>
      </w:r>
      <w:r>
        <w:t>17,2% der Männer berichten Chemsex-Gebrauch (21,4% in PrEP-Kohorte vs. 11,2% HIV-Kohortenstudie). Zeitlich begrenzte Nutzung oder Genesung zeigten niedrigstes STI-Risiko und niedrigsten Partner-Count. Intermittierender Gebrauch war nur für Syphilis protektiv. Gebrauch assoziiert mit Depression, unsicheren Kondomen, hohem Partner-Count und STI. Alter &lt;26 (aOR 0,82), &gt;37 (aOR 0,54), bisexuelle Orientierung (aOR 0,78) zeigten niedrigere Odds; französischsprachige Zentren (aOR 1,41) höhere Odds.</w:t>
      </w:r>
    </w:p>
    <w:p>
      <w:r>
        <w:rPr>
          <w:b/>
          <w:sz w:val="19"/>
        </w:rPr>
        <w:t xml:space="preserve">Übertragbarkeit: </w:t>
      </w:r>
      <w:r>
        <w:rPr>
          <w:sz w:val="19"/>
        </w:rPr>
        <w:t>Schweiz: Kohorte-Daten mit stabiler Erfassung, aber Geschlechterunterschied nicht primärer Fokus; relevante Unterschiede in der Präsentation zwischen Männern und Frauen bleiben offen.</w:t>
      </w:r>
    </w:p>
    <w:p>
      <w:r>
        <w:rPr>
          <w:color w:val="5A7D3A"/>
          <w:sz w:val="18"/>
        </w:rPr>
        <w:t>https://pubmed.ncbi.nlm.nih.gov/42740683/</w:t>
      </w:r>
    </w:p>
    <w:p>
      <w:pPr>
        <w:pStyle w:val="Heading2"/>
      </w:pPr>
      <w:r>
        <w:t>Albumin-Globulin-Quotient und Knochendichte: Frauen reagieren 3-fach stärker auf Entzündungsmarker</w:t>
      </w:r>
    </w:p>
    <w:p>
      <w:r>
        <w:rPr>
          <w:i/>
          <w:color w:val="666666"/>
          <w:sz w:val="18"/>
        </w:rPr>
        <w:t>Liu S et al.  ·  Medicine (Baltimore)  ·  11.09.2026  ·  PMID 42736730</w:t>
      </w:r>
    </w:p>
    <w:p>
      <w:r>
        <w:t>US-Querschnittsstudie (NHANES 2005-2018, 10.101 Erwachsene) untersuchte mittels piecewise regression, ob die Beziehung zwischen Albumin-Globulin-Quotient und Knochendichte nicht-linear ist und zwischen Geschlechtern unterschiedlich ausfällt.</w:t>
      </w:r>
    </w:p>
    <w:p>
      <w:r>
        <w:rPr>
          <w:b/>
        </w:rPr>
        <w:t xml:space="preserve">Ergebnis: </w:t>
      </w:r>
      <w:r>
        <w:t>Jede Einheit AGR-Anstieg korrelierte mit reduzierter Femur-Hals-Knochendichte (β=-0,0354 g/cm²) und Lendenwirbel-Dichte (β=-0,0245 g/cm²). Nichtlineare Analysen zeigten Inflektionspunkte (Femur 1,74; Lendenwirbel 1,17). Frauen zeigten 3,1-fach stärkere inverse Assoziation als Männer (P&lt;0,0001). Starker sexueller Dimorphismus.</w:t>
      </w:r>
    </w:p>
    <w:p>
      <w:r>
        <w:rPr>
          <w:b/>
          <w:sz w:val="19"/>
        </w:rPr>
        <w:t xml:space="preserve">Übertragbarkeit: </w:t>
      </w:r>
      <w:r>
        <w:rPr>
          <w:sz w:val="19"/>
        </w:rPr>
        <w:t>USA-Routine-Daten; Geschlechterunterschiede deuten auf Biologie hin (Östrogen, Entzündung), aber keine Dosierungs- oder Zugangsanalyse.</w:t>
      </w:r>
    </w:p>
    <w:p>
      <w:r>
        <w:rPr>
          <w:color w:val="5A7D3A"/>
          <w:sz w:val="18"/>
        </w:rPr>
        <w:t>https://pubmed.ncbi.nlm.nih.gov/42736730/</w:t>
      </w:r>
    </w:p>
    <w:p>
      <w:pPr>
        <w:pStyle w:val="Heading2"/>
      </w:pPr>
      <w:r>
        <w:t>Herzrhythmusstörungen nach Schlaganfall: Männer zeigen häufiger ventrikuläre Arrhythmien</w:t>
      </w:r>
    </w:p>
    <w:p>
      <w:r>
        <w:rPr>
          <w:i/>
          <w:color w:val="666666"/>
          <w:sz w:val="18"/>
        </w:rPr>
        <w:t>Schmick A et al.  ·  J Am Heart Assoc  ·  15.09.2026  ·  PMID 42714452</w:t>
      </w:r>
    </w:p>
    <w:p>
      <w:r>
        <w:t>Schweizer Kohortenstudie mit 673 Schlaganfallpatienten ohne bekannte Herzerkrankung untersuchte, ob neu aufgetretene Herzpathologien in Geschlechtsunterschieden häufiger vorkommen.</w:t>
      </w:r>
    </w:p>
    <w:p>
      <w:r>
        <w:rPr>
          <w:b/>
        </w:rPr>
        <w:t xml:space="preserve">Ergebnis: </w:t>
      </w:r>
      <w:r>
        <w:t>Männer entwickelten signifikant häufiger nicht-anhaltende ventrikuläre Tachykardie (OR 3,97), AV-Blockierungen ersten Grades (OR 5,71), Bradykardien (OR 3,40) und polymorphe ventrikuläre Extrasystolen (OR 2,61) als Frauen innerhalb eines Jahres nach Schlaganfall.</w:t>
      </w:r>
    </w:p>
    <w:p>
      <w:r>
        <w:rPr>
          <w:b/>
          <w:sz w:val="19"/>
        </w:rPr>
        <w:t xml:space="preserve">Übertragbarkeit: </w:t>
      </w:r>
      <w:r>
        <w:rPr>
          <w:sz w:val="19"/>
        </w:rPr>
        <w:t>Schweiz: vergleichbare Dokumentation und Spitalstruktur, kardiovaskuläre Nachsorge-Standards ähnlich Deutschland.</w:t>
      </w:r>
    </w:p>
    <w:p>
      <w:r>
        <w:rPr>
          <w:color w:val="5A7D3A"/>
          <w:sz w:val="18"/>
        </w:rPr>
        <w:t>https://pubmed.ncbi.nlm.nih.gov/42714452/</w:t>
      </w:r>
    </w:p>
    <w:p>
      <w:pPr>
        <w:pStyle w:val="Heading2"/>
      </w:pPr>
      <w:r>
        <w:t>Psychische Störungen nach Trauma: Alkoholabhängigkeit und Depression vorhersagen Herzinfarkt und Schlaganfall stärker als PTBS</w:t>
      </w:r>
    </w:p>
    <w:p>
      <w:r>
        <w:rPr>
          <w:i/>
          <w:color w:val="666666"/>
          <w:sz w:val="18"/>
        </w:rPr>
        <w:t>Sumner JA et al.  ·  J Am Heart Assoc  ·  15.09.2026  ·  PMID 42684053</w:t>
      </w:r>
    </w:p>
    <w:p>
      <w:r>
        <w:t>Dänische bevölkerungsbasierte Fall-Kontroll-Studie untersuchte mit Machine Learning, welche psychiatrischen Störungen nach Traumaexposition die Vorhersage von Herz- und Hirninfarkt am besten treffen und ob Unterschiede zwischen Geschlechtern bestehen.</w:t>
      </w:r>
    </w:p>
    <w:p>
      <w:r>
        <w:rPr>
          <w:b/>
        </w:rPr>
        <w:t xml:space="preserve">Ergebnis: </w:t>
      </w:r>
      <w:r>
        <w:t>Bei Männern und Frauen war Alkoholabhängigkeit der stärkste psychiatrische Prädiktor für kardiovaskuläre Ereignisse. Depressive Episoden waren für Frauen aussagekräftiger als für Männer. Beide Geschlechter zeigten erhöhte Odds Ratios für kardiovaskuläre Ereignisse bei Vorliegen psychiatrischer Störungen.</w:t>
      </w:r>
    </w:p>
    <w:p>
      <w:r>
        <w:rPr>
          <w:b/>
          <w:sz w:val="19"/>
        </w:rPr>
        <w:t xml:space="preserve">Übertragbarkeit: </w:t>
      </w:r>
      <w:r>
        <w:rPr>
          <w:sz w:val="19"/>
        </w:rPr>
        <w:t>Dänemark: nationale Routinedaten mit vollständiger medizinischer Erfassung, hohe Systemvergleichbarkeit mit Deutschland.</w:t>
      </w:r>
    </w:p>
    <w:p>
      <w:r>
        <w:rPr>
          <w:color w:val="5A7D3A"/>
          <w:sz w:val="18"/>
        </w:rPr>
        <w:t>https://pubmed.ncbi.nlm.nih.gov/42684053/</w:t>
      </w:r>
    </w:p>
    <w:p>
      <w:pPr>
        <w:pStyle w:val="Heading2"/>
      </w:pPr>
      <w:r>
        <w:t>Partnerschaftliche Träume zeigen Geschlechterdifferenz: Frauen profitieren emotional weniger von Beziehungen</w:t>
      </w:r>
    </w:p>
    <w:p>
      <w:r>
        <w:rPr>
          <w:i/>
          <w:color w:val="666666"/>
          <w:sz w:val="18"/>
        </w:rPr>
        <w:t>Schredl M  ·  Behav Brain Sci  ·  01.06.2026  ·  PMID 42222969</w:t>
      </w:r>
    </w:p>
    <w:p>
      <w:r>
        <w:t>Deutsche Schlafforschung präsentiert Evidenz aus Traumstudien, dass partnerschaftliche Träume bei Frauen negativ getönt sind als bei Männern – Hinweis darauf, dass Frauen emotional weniger von Partnerschaften profitieren.</w:t>
      </w:r>
    </w:p>
    <w:p>
      <w:r>
        <w:rPr>
          <w:b/>
        </w:rPr>
        <w:t xml:space="preserve">Ergebnis: </w:t>
      </w:r>
      <w:r>
        <w:t>Partner-Träume sind bei Frauen negativ getönter als bei Männern, was darauf hindeutet, dass Frauen nicht so viel von Partnerschaften profitieren wie Männer. Konsequenzen von Trennungen sind emotional stressvoller für Frauen als für Männer – entgegen Aussagen in der Zielarbeit.</w:t>
      </w:r>
    </w:p>
    <w:p>
      <w:r>
        <w:rPr>
          <w:b/>
          <w:sz w:val="19"/>
        </w:rPr>
        <w:t xml:space="preserve">Übertragbarkeit: </w:t>
      </w:r>
      <w:r>
        <w:rPr>
          <w:sz w:val="19"/>
        </w:rPr>
        <w:t>Deutschland: deutschsprachige Forschung, psychologischer Befund zu Geschlechtsunterschieden, aber keine Versorgungsrelevanz benannt.</w:t>
      </w:r>
    </w:p>
    <w:p>
      <w:r>
        <w:rPr>
          <w:color w:val="5A7D3A"/>
          <w:sz w:val="18"/>
        </w:rPr>
        <w:t>https://pubmed.ncbi.nlm.nih.gov/42222969/</w:t>
      </w:r>
    </w:p>
    <w:p>
      <w:pPr>
        <w:pStyle w:val="Heading1"/>
      </w:pPr>
      <w:r>
        <w:t>Aufgenommen am 16.09.2026</w:t>
      </w:r>
    </w:p>
    <w:p>
      <w:pPr>
        <w:pStyle w:val="Heading2"/>
      </w:pPr>
      <w:r>
        <w:t>Belohnungsvorhersagefehler und Lernfähigkeit bei Methamphetaminabhängigen: Geschlechtsspezifische Unterschiede</w:t>
      </w:r>
    </w:p>
    <w:p>
      <w:r>
        <w:rPr>
          <w:i/>
          <w:color w:val="666666"/>
          <w:sz w:val="18"/>
        </w:rPr>
        <w:t>Liu Y et al.  ·  Brain Behav  ·  Sept. 2026  ·  PMID 42740507</w:t>
      </w:r>
    </w:p>
    <w:p>
      <w:r>
        <w:t>Experimentelle Studie an 82 Methamphetaminabhängigen (43 Männer, 39 Frauen) und 86 Kontrollpersonen zur Prüfung, ob Reward-Prediction-Error-abhängiges Lernen durch Geschlecht unterschiedlich beeinträchtigt ist.</w:t>
      </w:r>
    </w:p>
    <w:p>
      <w:r>
        <w:rPr>
          <w:b/>
        </w:rPr>
        <w:t xml:space="preserve">Ergebnis: </w:t>
      </w:r>
      <w:r>
        <w:t>Abhängige zeigten niedrigere Lernraten und Erkennungsgenauigkeit als Kontrollpersonen. GLMM-Analysen offenbarten geschlechtsspezifische Muster: Der Moderationseffekt der Gruppe auf die RPE-Lern-Beziehung war bei Frauen signifikant, nicht bei Männern (Interaktion p&lt;0,05). Weibliche Abhängige zeigten reduzierte RPE-Nutzungseffizienz trotz größerer Vorhersagefehler.</w:t>
      </w:r>
    </w:p>
    <w:p>
      <w:r>
        <w:rPr>
          <w:b/>
          <w:sz w:val="19"/>
        </w:rPr>
        <w:t xml:space="preserve">Übertragbarkeit: </w:t>
      </w:r>
      <w:r>
        <w:rPr>
          <w:sz w:val="19"/>
        </w:rPr>
        <w:t>China, Grundlagenforschung mit klinischen Implikationen; Befund zu Suchttherapie übertragbar, Mechanismus bleibt biologisch.</w:t>
      </w:r>
    </w:p>
    <w:p>
      <w:r>
        <w:rPr>
          <w:color w:val="5A7D3A"/>
          <w:sz w:val="18"/>
        </w:rPr>
        <w:t>https://pubmed.ncbi.nlm.nih.gov/42740507/</w:t>
      </w:r>
    </w:p>
    <w:p>
      <w:pPr>
        <w:pStyle w:val="Heading2"/>
      </w:pPr>
      <w:r>
        <w:t>Alters- und geschlechtsspezifische Referenzbereiche für Liquorgesamtprotein</w:t>
      </w:r>
    </w:p>
    <w:p>
      <w:r>
        <w:rPr>
          <w:i/>
          <w:color w:val="666666"/>
          <w:sz w:val="18"/>
        </w:rPr>
        <w:t>Guan YJ et al.  ·  Zhonghua Yu Fang Yi Xue Za Zhi  ·  06.09.2026  ·  PMID 42736153</w:t>
      </w:r>
    </w:p>
    <w:p>
      <w:r>
        <w:t>Retrospektive Querschnittstudie an 6.173 "scheinbar gesunden" Liquorproben zur Etablierung von Referenzbereichen für Gesamtprotein nach Alter und Geschlecht bei Han-Chinesen.</w:t>
      </w:r>
    </w:p>
    <w:p>
      <w:r>
        <w:rPr>
          <w:b/>
        </w:rPr>
        <w:t xml:space="preserve">Ergebnis: </w:t>
      </w:r>
      <w:r>
        <w:t>Liquorprotein stieg mit Alter (r=0,369, p&lt;0,001). Männer (481 mg/L) zeigten signifikant höhere Werte als Frauen (424 mg/L; U=3.664.330, p&lt;0,001). Referenzbereiche stiegen von 170–580 mg/L (18–25 Jahre) auf 250–900 mg/L (&gt;76 Jahre). Innerhalb gleicher Alterskohorten war die Obergrenze bei Männern höher, nur in &gt;76 Jahren leicht bei Frauen höher. Befund ermöglicht geschlechtsgerechte Diagnose von Hirntumoren und Demyelinisierung.</w:t>
      </w:r>
    </w:p>
    <w:p>
      <w:r>
        <w:rPr>
          <w:b/>
          <w:sz w:val="19"/>
        </w:rPr>
        <w:t xml:space="preserve">Übertragbarkeit: </w:t>
      </w:r>
      <w:r>
        <w:rPr>
          <w:sz w:val="19"/>
        </w:rPr>
        <w:t>China, großes Register; Prinzip der geschlechtergetrennten Referenzbereiche auf deutsche Routinelabore übertragbar.</w:t>
      </w:r>
    </w:p>
    <w:p>
      <w:r>
        <w:rPr>
          <w:color w:val="5A7D3A"/>
          <w:sz w:val="18"/>
        </w:rPr>
        <w:t>https://pubmed.ncbi.nlm.nih.gov/42736153/</w:t>
      </w:r>
    </w:p>
    <w:p>
      <w:pPr>
        <w:pStyle w:val="Heading2"/>
      </w:pPr>
      <w:r>
        <w:t>Nierensteine und Bluthochdruck bei Frauen nach der Menopause</w:t>
      </w:r>
    </w:p>
    <w:p>
      <w:r>
        <w:rPr>
          <w:i/>
          <w:color w:val="666666"/>
          <w:sz w:val="18"/>
        </w:rPr>
        <w:t>Javadi MH et al.  ·  Ann Epidemiol  ·  06.08.2026  ·  PMID 42562241</w:t>
      </w:r>
    </w:p>
    <w:p>
      <w:r>
        <w:t>Prospektive Kohortenstudie an 100.562 postmenopausalen Frauen ohne Baseline-Hypertonie zur Frage, ob Urolithiasis mit neu aufgetretenem Bluthochdruck und möglichen Interaktionen mit Entzündung und Lebensstil assoziiert ist.</w:t>
      </w:r>
    </w:p>
    <w:p>
      <w:r>
        <w:rPr>
          <w:b/>
        </w:rPr>
        <w:t xml:space="preserve">Ergebnis: </w:t>
      </w:r>
      <w:r>
        <w:t>Urolithiasis war mit erhöhtem Hypertonie-Risiko assoziiert (bereinigt HR=1,16, 95%-KI: 1,02–1,35; p=0,05). Recidivierende Steine erhöhten das Risiko versus keine Vorgeschichte (HR=1,14; 95%-KI: 1,02–1,28; p=0,03). Körperliche Aktivität modifizierte die Assoziation signifikant (Interaktion p=0,03). Die absolute Risikosteigerung war moderat.</w:t>
      </w:r>
    </w:p>
    <w:p>
      <w:r>
        <w:rPr>
          <w:b/>
          <w:sz w:val="19"/>
        </w:rPr>
        <w:t xml:space="preserve">Übertragbarkeit: </w:t>
      </w:r>
      <w:r>
        <w:rPr>
          <w:sz w:val="19"/>
        </w:rPr>
        <w:t>USA, geschlechtergetrennte Routinedaten; Befund generalisierbar nur für postmenopausale Frauen.</w:t>
      </w:r>
    </w:p>
    <w:p>
      <w:r>
        <w:rPr>
          <w:color w:val="5A7D3A"/>
          <w:sz w:val="18"/>
        </w:rPr>
        <w:t>https://pubmed.ncbi.nlm.nih.gov/42562241/</w:t>
      </w:r>
    </w:p>
    <w:p>
      <w:pPr>
        <w:pStyle w:val="Heading2"/>
      </w:pPr>
      <w:r>
        <w:t>mpox-Ausbruch mit schwerer Proktitis bei Männern mit Sexualkontakten zu Männern, Nordirland 2026</w:t>
      </w:r>
    </w:p>
    <w:p>
      <w:r>
        <w:rPr>
          <w:i/>
          <w:color w:val="666666"/>
          <w:sz w:val="18"/>
        </w:rPr>
        <w:t>Harrison A et al.  ·  Euro Surveill  ·  Juli 2026  ·  PMID 42535291</w:t>
      </w:r>
    </w:p>
    <w:p>
      <w:r>
        <w:t>Deskriptive Surveillance eines Ausbruchs von mpox-Klade-Ib-Fällen zwischen Juni 2026 in Nordirland, charakterisiert durch anoректальe Erkrankung und Präsentation in nicht-spezialisierten klinischen Settings.</w:t>
      </w:r>
    </w:p>
    <w:p>
      <w:r>
        <w:rPr>
          <w:b/>
        </w:rPr>
        <w:t xml:space="preserve">Ergebnis: </w:t>
      </w:r>
      <w:r>
        <w:t>22 bestätigte Fälle bei Männern mit Sexualkontakten zu Männern (Medianalter 41 Jahre); 19 ohne Auslandsreisen 21 Tage vor Symptombeginn. Schwere anoректальe Manifestationen, Präsentation in Allgemeinkrankenhäusern statt Spezialkliniken. Der Befund zeigt unerkannte Transmission in der Bevölkerung.</w:t>
      </w:r>
    </w:p>
    <w:p>
      <w:r>
        <w:rPr>
          <w:b/>
          <w:sz w:val="19"/>
        </w:rPr>
        <w:t xml:space="preserve">Übertragbarkeit: </w:t>
      </w:r>
      <w:r>
        <w:rPr>
          <w:sz w:val="19"/>
        </w:rPr>
        <w:t>Vereinigtes Königreich, vergleichbar mit deutschen Überwachungs- und Klinikstrukturen; zeigt Diagnostiklücke auf Sekundärversorgungsebene.</w:t>
      </w:r>
    </w:p>
    <w:p>
      <w:r>
        <w:rPr>
          <w:color w:val="5A7D3A"/>
          <w:sz w:val="18"/>
        </w:rPr>
        <w:t>https://pubmed.ncbi.nlm.nih.gov/42535291/</w:t>
      </w:r>
    </w:p>
    <w:p>
      <w:pPr>
        <w:pStyle w:val="Heading2"/>
      </w:pPr>
      <w:r>
        <w:t>Rauchen und Alkohol erklären Geschlechterlücke bei Bildungsungleichheit in Lebenserwartung, Europa</w:t>
      </w:r>
    </w:p>
    <w:p>
      <w:r>
        <w:rPr>
          <w:i/>
          <w:color w:val="666666"/>
          <w:sz w:val="18"/>
        </w:rPr>
        <w:t>Janssen F et al.  ·  Ann Epidemiol  ·  03.07.2026  ·  PMID 42398740</w:t>
      </w:r>
    </w:p>
    <w:p>
      <w:r>
        <w:t>Vergleichende Lebenstafelanalyse (England, Wales, Finnland, Turin 1992–2017) zur Frage, wie stark Rauchen, Alkohol und Adipositas die größeren Bildungsungleichheiten in Restlebenserwartung mit 30 Jahren bei Männern erklären.</w:t>
      </w:r>
    </w:p>
    <w:p>
      <w:r>
        <w:rPr>
          <w:b/>
        </w:rPr>
        <w:t xml:space="preserve">Ergebnis: </w:t>
      </w:r>
      <w:r>
        <w:t>Männer hatten durchgehend höhere Bildungsungleichheiten als Frauen. Lebensstil-attribuierbare Mortalität erklärte 57% der Lücke in E&amp;W (1,1 Jahre), 70% in Finnland (2,6 Jahre), 92% in Turin (2,4 Jahre), getrieben durch Rauchen. Alkohol bestimmte Finnlands Trendumkehr 2007. Rauchen und Alkohol waren die dominierenden Treiber, nicht biologische Unterschiede.</w:t>
      </w:r>
    </w:p>
    <w:p>
      <w:r>
        <w:rPr>
          <w:b/>
          <w:sz w:val="19"/>
        </w:rPr>
        <w:t xml:space="preserve">Übertragbarkeit: </w:t>
      </w:r>
      <w:r>
        <w:rPr>
          <w:sz w:val="19"/>
        </w:rPr>
        <w:t>England, Finnland, Italien; europäische Routinedaten mit Parallelen zu deutschen Sterblich keitsdaten; Effekte replizierbar.</w:t>
      </w:r>
    </w:p>
    <w:p>
      <w:r>
        <w:rPr>
          <w:color w:val="5A7D3A"/>
          <w:sz w:val="18"/>
        </w:rPr>
        <w:t>https://pubmed.ncbi.nlm.nih.gov/42398740/</w:t>
      </w:r>
    </w:p>
    <w:p>
      <w:pPr>
        <w:pStyle w:val="Heading2"/>
      </w:pPr>
      <w:r>
        <w:t>Sexuelle Belästigung bei Arbeit: Geschlechts- und Altersmuster nach #MeToo</w:t>
      </w:r>
    </w:p>
    <w:p>
      <w:r>
        <w:rPr>
          <w:i/>
          <w:color w:val="666666"/>
          <w:sz w:val="18"/>
        </w:rPr>
        <w:t>Rosander M et al.  ·  J Child Sex Abus  ·  02.06.2026  ·  PMID 42231644</w:t>
      </w:r>
    </w:p>
    <w:p>
      <w:r>
        <w:t>Bevölkerungsstichprobe von 3.307 Beschäftigten in Schweden (2026) zur Prävalenz und Risikofaktoren von drei Formen sexueller Belästigung nach Geschlecht, Alter und Arbeitssektor.</w:t>
      </w:r>
    </w:p>
    <w:p>
      <w:r>
        <w:rPr>
          <w:b/>
        </w:rPr>
        <w:t xml:space="preserve">Ergebnis: </w:t>
      </w:r>
      <w:r>
        <w:t>Insgesamt 15,6% erlebten mindestens eine Belästigungsform in 6 Monaten. Frauen, besonders junge, waren überrepräsentiert bei unerwünschter sexueller Aufmerksamkeit (keine Unterschiede bei sexualisiertem Verhalten oder Zwang). Frauen im privaten Sektor und Männer im kommunalen Sektor berichteten höhere Exposition. Minoritätsstatus erhöhte Exposition bei beiden Geschlechtern. Gegengeschlechtliche Vorgesetzte waren mit erhöhter Exposition assoziiert, besonders für unerwünschte Aufmerksamkeit.</w:t>
      </w:r>
    </w:p>
    <w:p>
      <w:r>
        <w:rPr>
          <w:b/>
          <w:sz w:val="19"/>
        </w:rPr>
        <w:t xml:space="preserve">Übertragbarkeit: </w:t>
      </w:r>
      <w:r>
        <w:rPr>
          <w:sz w:val="19"/>
        </w:rPr>
        <w:t>Schweden, vergleichbares Arbeitsmarktsystem und Regulatorisches Umfeld; Befund zu Geschlechterdynamiken in Hierarchien generalisierbar.</w:t>
      </w:r>
    </w:p>
    <w:p>
      <w:r>
        <w:rPr>
          <w:color w:val="5A7D3A"/>
          <w:sz w:val="18"/>
        </w:rPr>
        <w:t>https://pubmed.ncbi.nlm.nih.gov/42231644/</w:t>
      </w:r>
    </w:p>
    <w:p>
      <w:pPr>
        <w:pStyle w:val="Heading1"/>
      </w:pPr>
      <w:r>
        <w:t>Aufgenommen am 15.09.2026</w:t>
      </w:r>
    </w:p>
    <w:p>
      <w:pPr>
        <w:pStyle w:val="Heading2"/>
      </w:pPr>
      <w:r>
        <w:t>Diskriminierung verzögert Versorgungssuche bei Transgender-Personen in Pakistan</w:t>
      </w:r>
    </w:p>
    <w:p>
      <w:r>
        <w:rPr>
          <w:i/>
          <w:color w:val="666666"/>
          <w:sz w:val="18"/>
        </w:rPr>
        <w:t>Memon A et al.  ·  East Mediterr Health J  ·  03.09.2026  ·  PMID 42734200</w:t>
      </w:r>
    </w:p>
    <w:p>
      <w:r>
        <w:t>Querschnittstudie mit 360 Transgender-Personen in Karachi zur Vorhersage von Behandlungsabsicht und Verzögerungen bei der Versorgungssuche.</w:t>
      </w:r>
    </w:p>
    <w:p>
      <w:r>
        <w:rPr>
          <w:b/>
        </w:rPr>
        <w:t xml:space="preserve">Ergebnis: </w:t>
      </w:r>
      <w:r>
        <w:t>Diskriminierung (B = −0,94, p &lt; 0,01) senkte die Absicht, Versorgung zu suchen; wahrgenommene Anbieter-Kompetenz erhöhte sie (B = 0,35, p = 0,03). Diskriminierung erhöhte Verzögerungen (OR = 3,77, p = 0,013). Älteres Alter, höhere Bildung und Diskriminierung beschleunigten Verzögerungen; häufigere Besuche und wahrgenommene Anbieter-Kompetenz verkürzten sie.</w:t>
      </w:r>
    </w:p>
    <w:p>
      <w:r>
        <w:rPr>
          <w:b/>
          <w:sz w:val="19"/>
        </w:rPr>
        <w:t xml:space="preserve">Übertragbarkeit: </w:t>
      </w:r>
      <w:r>
        <w:rPr>
          <w:sz w:val="19"/>
        </w:rPr>
        <w:t>Außereuropäischer Kontext mit extremerer Diskriminierung, Befunde zur Zugangsbarriere aber übertragbar</w:t>
      </w:r>
    </w:p>
    <w:p>
      <w:r>
        <w:rPr>
          <w:color w:val="5A7D3A"/>
          <w:sz w:val="18"/>
        </w:rPr>
        <w:t>https://pubmed.ncbi.nlm.nih.gov/42734200/</w:t>
      </w:r>
    </w:p>
    <w:p>
      <w:pPr>
        <w:pStyle w:val="Heading2"/>
      </w:pPr>
      <w:r>
        <w:t>Ökonomische Systeme prägen Frauengesundheit – Perspektiven australischer Frauen</w:t>
      </w:r>
    </w:p>
    <w:p>
      <w:r>
        <w:rPr>
          <w:i/>
          <w:color w:val="666666"/>
          <w:sz w:val="18"/>
        </w:rPr>
        <w:t>McCarthy S et al.  ·  Health Promot Int  ·  01.09.2026  ·  PMID 42725912</w:t>
      </w:r>
    </w:p>
    <w:p>
      <w:r>
        <w:t>Qualitative Online-Umfrage mit 506 australischen Frauen (≥18 Jahre) zu Wahrnehmungen ökonomischer und kommerzieller Einflüsse auf Frauengesundheit und Geschlechterungerechtigkeit.</w:t>
      </w:r>
    </w:p>
    <w:p>
      <w:r>
        <w:rPr>
          <w:b/>
        </w:rPr>
        <w:t xml:space="preserve">Ergebnis: </w:t>
      </w:r>
      <w:r>
        <w:t>Vier Themen: finanzielle Barrieren zu essentiellen Gütern und Gesundheitsdiensten; Arbeitsplatzpraktiken (unsichere Beschäftigung, Inflexibilität, Diskriminierung) verschlechtern Gesundheit; Gewinnnatur von Industrien gefährdet Gesundheit; Forderung nach stärkerer Regulierung, betrieblichem Schutz und gerechterem Zugang. Frauen benannten strukturelle Treiber von Ungleichheit.</w:t>
      </w:r>
    </w:p>
    <w:p>
      <w:r>
        <w:rPr>
          <w:b/>
          <w:sz w:val="19"/>
        </w:rPr>
        <w:t xml:space="preserve">Übertragbarkeit: </w:t>
      </w:r>
      <w:r>
        <w:rPr>
          <w:sz w:val="19"/>
        </w:rPr>
        <w:t>Australien vergleichbar mit Deutschland in Versicherungssystem, zeigt sozioökonomische Determinanten</w:t>
      </w:r>
    </w:p>
    <w:p>
      <w:r>
        <w:rPr>
          <w:color w:val="5A7D3A"/>
          <w:sz w:val="18"/>
        </w:rPr>
        <w:t>https://pubmed.ncbi.nlm.nih.gov/42725912/</w:t>
      </w:r>
    </w:p>
    <w:p>
      <w:pPr>
        <w:pStyle w:val="Heading2"/>
      </w:pPr>
      <w:r>
        <w:t>Hypertensive Schwangerschaftsstörungen bei Indigenous-Frauen in den USA</w:t>
      </w:r>
    </w:p>
    <w:p>
      <w:r>
        <w:rPr>
          <w:i/>
          <w:color w:val="666666"/>
          <w:sz w:val="18"/>
        </w:rPr>
        <w:t>Vu TT et al.  ·  Curr Hypertens Rep  ·  04.09.2026  ·  PMID 42696076</w:t>
      </w:r>
    </w:p>
    <w:p>
      <w:r>
        <w:t>Narrativ-Review zu Determinanten hypertensiver Schwangerschaftsstörungen (HDP) bei American Indian/Alaska Native (AI/AN) Frauen und langfristigen Kardiovaskulär-Folgen.</w:t>
      </w:r>
    </w:p>
    <w:p>
      <w:r>
        <w:rPr>
          <w:b/>
        </w:rPr>
        <w:t xml:space="preserve">Ergebnis: </w:t>
      </w:r>
      <w:r>
        <w:t>AI/AN-Frauen zeigen höchste HDP-Prävalenz (9,1 %) aller Rassen/Ethnien, schwere mütterliche Morbidität 1,6× höher als weiße Frauen. Strukturelle Determinanten: Kolonialismus-Erbe, Rassenmisklassifikation, Daten-Souveränitätsverletzungen, unterbrochene traditionelle Geburtsweisen. Qualitativ belegt: Diskriminierung, kulturelle Geringschätzung, Anbieter-Bias. 2× erhöhtes kardiovaskuläres Risiko post-partum, aber Barrieren zu Follow-up und Screening.</w:t>
      </w:r>
    </w:p>
    <w:p>
      <w:r>
        <w:rPr>
          <w:b/>
          <w:sz w:val="19"/>
        </w:rPr>
        <w:t xml:space="preserve">Übertragbarkeit: </w:t>
      </w:r>
      <w:r>
        <w:rPr>
          <w:sz w:val="19"/>
        </w:rPr>
        <w:t>USA-Setting mit strukturellem Rassismus, aber Befunde zur Versorgungsbarriere und fehlenden Prävention relevant</w:t>
      </w:r>
    </w:p>
    <w:p>
      <w:r>
        <w:rPr>
          <w:color w:val="5A7D3A"/>
          <w:sz w:val="18"/>
        </w:rPr>
        <w:t>https://pubmed.ncbi.nlm.nih.gov/42696076/</w:t>
      </w:r>
    </w:p>
    <w:p>
      <w:pPr>
        <w:pStyle w:val="Heading2"/>
      </w:pPr>
      <w:r>
        <w:t>Psychische Gesundheit und Versorgungszugang bei sexuellen Minderheiten-Jugendlichen in Israel</w:t>
      </w:r>
    </w:p>
    <w:p>
      <w:r>
        <w:rPr>
          <w:i/>
          <w:color w:val="666666"/>
          <w:sz w:val="18"/>
        </w:rPr>
        <w:t>Gewirtz-Meydan A et al.  ·  Isr J Health Policy Res  ·  04.09.2026  ·  PMID 42693470</w:t>
      </w:r>
    </w:p>
    <w:p>
      <w:r>
        <w:t>Latent-Profile-Analyse bei 1.129 israelischen Jugendlichen (30 % sexuelle Minderheiten, Alter 16–18 Jahre) zur Identifikation psychischer Risikoprofile und Barrieren zur Hilfesuche.</w:t>
      </w:r>
    </w:p>
    <w:p>
      <w:r>
        <w:rPr>
          <w:b/>
        </w:rPr>
        <w:t xml:space="preserve">Ergebnis: </w:t>
      </w:r>
      <w:r>
        <w:t>Vier Profile identifiziert: unauffällig, emotionale Probleme/Suizidalität, Tabak-/E-Zigaretten-User, Cannabis-User. Sexuelle Minderheiten berichteten mehr Barrieren (identitätsbezogen, strukturell, emotional) und niedrigere Hilfeabsicht. Sexuelle Orientierung moderierte diese Assoziation: schwächere Hilfeabsicht bei sexuellen Minderheiten unter Tabak-/E-Zigaretten-Usern, stärker bei Cannabis-Usern.</w:t>
      </w:r>
    </w:p>
    <w:p>
      <w:r>
        <w:rPr>
          <w:b/>
          <w:sz w:val="19"/>
        </w:rPr>
        <w:t xml:space="preserve">Übertragbarkeit: </w:t>
      </w:r>
      <w:r>
        <w:rPr>
          <w:sz w:val="19"/>
        </w:rPr>
        <w:t>Israel vergleichbar mit europäischem Versorgungssystem, zeigt Intersektionalität als Versorgungshürde</w:t>
      </w:r>
    </w:p>
    <w:p>
      <w:r>
        <w:rPr>
          <w:color w:val="5A7D3A"/>
          <w:sz w:val="18"/>
        </w:rPr>
        <w:t>https://pubmed.ncbi.nlm.nih.gov/42693470/</w:t>
      </w:r>
    </w:p>
    <w:p>
      <w:pPr>
        <w:pStyle w:val="Heading2"/>
      </w:pPr>
      <w:r>
        <w:t>Fortpflanzungsmedizin: Welche Körper gelten als anerkannte Eltern?</w:t>
      </w:r>
    </w:p>
    <w:p>
      <w:r>
        <w:rPr>
          <w:i/>
          <w:color w:val="666666"/>
          <w:sz w:val="18"/>
        </w:rPr>
        <w:t>Jørgensen TS  ·  Sociol Health Illn  ·  Juli 2026  ·  PMID 42472460</w:t>
      </w:r>
    </w:p>
    <w:p>
      <w:r>
        <w:t>Qualitative Studie mit 25 Interviews zu Transgender-, nicht-binären und schwulen Personen, die Fertilitätsbehandlung in Dänemark nutzten und wie institutionelle Erwartungen ihren Zugang regulieren.</w:t>
      </w:r>
    </w:p>
    <w:p>
      <w:r>
        <w:rPr>
          <w:b/>
        </w:rPr>
        <w:t xml:space="preserve">Ergebnis: </w:t>
      </w:r>
      <w:r>
        <w:t>Reproduktive Governance durch Gesundheitsinstitutionen erzeugt Rahmen von Anerkennung, die bestimmte Körper und Familienstrukturen als legitim definieren. Queer People adoptierten Praktiken der Sichtbarkeit oder Anpassung an heteronormative Ideale, um Zugang zu Fertilitätsbehandlung zu erlangen; diese Fähigkeit war ungleich in der Queer-Community verteilt.</w:t>
      </w:r>
    </w:p>
    <w:p>
      <w:r>
        <w:rPr>
          <w:b/>
          <w:sz w:val="19"/>
        </w:rPr>
        <w:t xml:space="preserve">Übertragbarkeit: </w:t>
      </w:r>
      <w:r>
        <w:rPr>
          <w:sz w:val="19"/>
        </w:rPr>
        <w:t>Dänemark ähnelt deutschem Sozialversicherungssystem, zeigt Zugangsbarrieren als Versorgungsproblem</w:t>
      </w:r>
    </w:p>
    <w:p>
      <w:r>
        <w:rPr>
          <w:color w:val="5A7D3A"/>
          <w:sz w:val="18"/>
        </w:rPr>
        <w:t>https://pubmed.ncbi.nlm.nih.gov/42472460/</w:t>
      </w:r>
    </w:p>
    <w:p>
      <w:pPr>
        <w:pStyle w:val="Heading2"/>
      </w:pPr>
      <w:r>
        <w:t>Hitzeexposition und Schwangerengesundheit in ländlichem Ghana: Versuchsprotokoll</w:t>
      </w:r>
    </w:p>
    <w:p>
      <w:r>
        <w:rPr>
          <w:i/>
          <w:color w:val="666666"/>
          <w:sz w:val="18"/>
        </w:rPr>
        <w:t>Zimmer RS et al.  ·  BMC Public Health  ·  06.07.2026  ·  PMID 42410409</w:t>
      </w:r>
    </w:p>
    <w:p>
      <w:r>
        <w:t>Studienprotokoll für randomisierte Clusterprobe zur Untersuchung physiologischer Effekte von Umwelthitze auf schwangere Frauen in Nord-Ghana und Wirksamkeit von Wärmeanpassungsstrategien.</w:t>
      </w:r>
    </w:p>
    <w:p>
      <w:r>
        <w:rPr>
          <w:b/>
        </w:rPr>
        <w:t xml:space="preserve">Ergebnis: </w:t>
      </w:r>
      <w:r>
        <w:t>Geplante Messung: Wärmebelastung durch hochauflösende Umgebungsüberwachung, mütterliche Physiologie via tragbare Sensoren (Herzfrequenz, Körpertemperatur), fötale Gesundheitsindikatoren (fötale Herzfrequenz, Doppler). Interventionsevaluation mit statistischen Analysen zur geschlechtsspezifischen Reaktion geplant; Ergebnisse noch ausstehend.</w:t>
      </w:r>
    </w:p>
    <w:p>
      <w:r>
        <w:rPr>
          <w:b/>
          <w:sz w:val="19"/>
        </w:rPr>
        <w:t xml:space="preserve">Übertragbarkeit: </w:t>
      </w:r>
      <w:r>
        <w:rPr>
          <w:sz w:val="19"/>
        </w:rPr>
        <w:t>Niedrig-Ressourcen-Setting, aber Hitze-Geschlechter-Effekt biologisch grundlegend und klimarelevant</w:t>
      </w:r>
    </w:p>
    <w:p>
      <w:r>
        <w:rPr>
          <w:color w:val="5A7D3A"/>
          <w:sz w:val="18"/>
        </w:rPr>
        <w:t>https://pubmed.ncbi.nlm.nih.gov/42410409/</w:t>
      </w:r>
    </w:p>
    <w:p>
      <w:pPr>
        <w:pStyle w:val="Heading1"/>
      </w:pPr>
      <w:r>
        <w:t>Aufgenommen am 14.09.2026</w:t>
      </w:r>
    </w:p>
    <w:p>
      <w:pPr>
        <w:pStyle w:val="Heading2"/>
      </w:pPr>
      <w:r>
        <w:t>Symptomnetze bei Depression und Angst unterscheiden sich geschlechtsspezifisch unter Stress</w:t>
      </w:r>
    </w:p>
    <w:p>
      <w:r>
        <w:rPr>
          <w:i/>
          <w:color w:val="666666"/>
          <w:sz w:val="18"/>
        </w:rPr>
        <w:t>Hu J et al.  ·  Depress Anxiety  ·  12.09.2026  ·  PMID 42732257</w:t>
      </w:r>
    </w:p>
    <w:p>
      <w:r>
        <w:t>Querschnittsstudie zu Geschlechtsunterschieden in Symptomvernetzungen von Depression, Angst und komorbiden Symptomen (PTSD, Schlaflosigkeit) bei 1.191 Erwachsenen unter akutem psychischem Stress.</w:t>
      </w:r>
    </w:p>
    <w:p>
      <w:r>
        <w:rPr>
          <w:b/>
        </w:rPr>
        <w:t xml:space="preserve">Ergebnis: </w:t>
      </w:r>
      <w:r>
        <w:t>Bei Frauen waren Angst und Intrusion die zentralsten Symptomknoten, bei Männern Depression. Frauen zeigten signifikant höhere Gesamtkonkektivität im Netzwerk und eine komplexere Architektur mit mehr gerichteten Verbindungen zwischen Symptomen (18% erklärte Varianz für Kortikaler Thinning, 32% für Amygdala-Volumen). Diese Unterschiede deuten auf Ansatzpunkte für geschlechtssensible psychologische Erste Hilfe hin.</w:t>
      </w:r>
    </w:p>
    <w:p>
      <w:r>
        <w:rPr>
          <w:b/>
          <w:sz w:val="19"/>
        </w:rPr>
        <w:t xml:space="preserve">Übertragbarkeit: </w:t>
      </w:r>
      <w:r>
        <w:rPr>
          <w:sz w:val="19"/>
        </w:rPr>
        <w:t>Deutschland – Querschnittsstudie, direkt auf Stressintervention übertragbar.</w:t>
      </w:r>
    </w:p>
    <w:p>
      <w:r>
        <w:rPr>
          <w:color w:val="5A7D3A"/>
          <w:sz w:val="18"/>
        </w:rPr>
        <w:t>https://pubmed.ncbi.nlm.nih.gov/42732257/</w:t>
      </w:r>
    </w:p>
    <w:p>
      <w:pPr>
        <w:pStyle w:val="Heading2"/>
      </w:pPr>
      <w:r>
        <w:t>TB-Last bei Männern höher – Verhaltens- und Kontaktmuster erklären mehr als Biologie</w:t>
      </w:r>
    </w:p>
    <w:p>
      <w:r>
        <w:rPr>
          <w:i/>
          <w:color w:val="666666"/>
          <w:sz w:val="18"/>
        </w:rPr>
        <w:t>Doran JWG et al.  ·  Bull Math Biol  ·  10.09.2026  ·  PMID 42722918</w:t>
      </w:r>
    </w:p>
    <w:p>
      <w:r>
        <w:t>Agent-Based-Modelling zu Geschlechts-/Genderunterschieden in TB-Übertragung in Kampala, Uganda; Counterfactual-Szenarien zur Ermittlung der wichtigsten populationsweiten Faktoren für die 62,5%-zu-37,5%-Männer-zu-Frauen-Fallquote.</w:t>
      </w:r>
    </w:p>
    <w:p>
      <w:r>
        <w:rPr>
          <w:b/>
        </w:rPr>
        <w:t xml:space="preserve">Ergebnis: </w:t>
      </w:r>
      <w:r>
        <w:t>In-Host-Parameter hatten größten Gesamteffekt, aber Verhaltens- und Kontaktmuster (assortatives Mixing, genderspezifische Kontakte) erklärten das erhöhte Männer-zu-Frauen-Verhältnis stärker. Super-Spreader verursachten Mehrheit der Infektionen; Männer und cavitäre TB-Träger infizieren im Durchschnitt mehr Personen. Modell zeigt Proof-of-Concept für geschlechtssensible TB-Interventionen.</w:t>
      </w:r>
    </w:p>
    <w:p>
      <w:r>
        <w:rPr>
          <w:b/>
          <w:sz w:val="19"/>
        </w:rPr>
        <w:t xml:space="preserve">Übertragbarkeit: </w:t>
      </w:r>
      <w:r>
        <w:rPr>
          <w:sz w:val="19"/>
        </w:rPr>
        <w:t>Uganda, Süd-Subsahara-Afrika – zeigt Zugang und Verhalten als biologische Faktoren überlagern; Mechanismus ist übertragbar auf ähnliche Hochlast-Settings.</w:t>
      </w:r>
    </w:p>
    <w:p>
      <w:r>
        <w:rPr>
          <w:color w:val="5A7D3A"/>
          <w:sz w:val="18"/>
        </w:rPr>
        <w:t>https://pubmed.ncbi.nlm.nih.gov/42722918/</w:t>
      </w:r>
    </w:p>
    <w:p>
      <w:pPr>
        <w:pStyle w:val="Heading2"/>
      </w:pPr>
      <w:r>
        <w:t>Frauen erkennen Emotionen und soziale Signale besser – auch bei sozialen Funktionsstörungen</w:t>
      </w:r>
    </w:p>
    <w:p>
      <w:r>
        <w:rPr>
          <w:i/>
          <w:color w:val="666666"/>
          <w:sz w:val="18"/>
        </w:rPr>
        <w:t>Kemp KC et al.  ·  PLoS One  ·  10.09.2026  ·  PMID 42721142</w:t>
      </w:r>
    </w:p>
    <w:p>
      <w:r>
        <w:t>Querschnittstudie (n=212, 58,5% weiblich, Alter 14-30 Jahre) zu Geschlechtsunterschieden in Blickwahrnehmung, Theory of Mind und sozialer Inferenz bei Adoleszenten und jungen Erwachsenen mit variablem Ausmaß an sozialer Dysfunktion.</w:t>
      </w:r>
    </w:p>
    <w:p>
      <w:r>
        <w:rPr>
          <w:b/>
        </w:rPr>
        <w:t xml:space="preserve">Ergebnis: </w:t>
      </w:r>
      <w:r>
        <w:t>Frauen schnitten signifikant besser bei Theory-of-Mind-, sozialer Inferenz- und Blickwahrnehmungsaufgaben ab; Unterschiede blieben nach Adjustment für allgemeine Kognition, Alter und Psychopathologie bestehen. Ausnahme: komplexe, dynamische soziale Inferenzaufgabe – keine Unterschiede nach Adjustment für Psychopathologie. Frauen könnten allgemein empfindlicher für augen- und faciale Signale sein.</w:t>
      </w:r>
    </w:p>
    <w:p>
      <w:r>
        <w:rPr>
          <w:b/>
          <w:sz w:val="19"/>
        </w:rPr>
        <w:t xml:space="preserve">Übertragbarkeit: </w:t>
      </w:r>
      <w:r>
        <w:rPr>
          <w:sz w:val="19"/>
        </w:rPr>
        <w:t>USA – auch bei Psychopathologie replizierbar; Mechanismus (Signaldetektion) nicht an System gebunden.</w:t>
      </w:r>
    </w:p>
    <w:p>
      <w:r>
        <w:rPr>
          <w:color w:val="5A7D3A"/>
          <w:sz w:val="18"/>
        </w:rPr>
        <w:t>https://pubmed.ncbi.nlm.nih.gov/42721142/</w:t>
      </w:r>
    </w:p>
    <w:p>
      <w:pPr>
        <w:pStyle w:val="Heading2"/>
      </w:pPr>
      <w:r>
        <w:t>Männer in der Pflege: Verschieben sich Geschlechternormen oder verstärken sie sich?</w:t>
      </w:r>
    </w:p>
    <w:p>
      <w:r>
        <w:rPr>
          <w:i/>
          <w:color w:val="666666"/>
          <w:sz w:val="18"/>
        </w:rPr>
        <w:t>Aydin F et al.  ·  Int Nurs Rev  ·  Sept. 2026  ·  PMID 42695756</w:t>
      </w:r>
    </w:p>
    <w:p>
      <w:r>
        <w:t>Qualitative Explorationsstudie mit 40 semi-strukturierten Interviews (5 Pfleger, 5 Pflegerinnen, 10 Ärzte, 10 Patienten/Angehörige) in der Türkei zur Untersuchung, wie Männer in einem Frauenberuf die Berufsidentität Pflege reshape – Hybrid-Thematic-Analysis nach Braun &amp; Clarke.</w:t>
      </w:r>
    </w:p>
    <w:p>
      <w:r>
        <w:rPr>
          <w:b/>
        </w:rPr>
        <w:t xml:space="preserve">Ergebnis: </w:t>
      </w:r>
      <w:r>
        <w:t>Vier Themes: Männer wurden durch physische Kraft, Ruhe und Schutz positioniert, Frauen durch emotionale/mütterliche Attribute. Männer wurden aus Geburtshilfe, Gynäkologie, Neonatologie ausgeschlossen (Datenschutz). Patienten und Ärzte definierten Pflegekompetenz durch unterschiedliche genderte Kriterien. Gender-Essentialismus wurde in ‚hybrider' Form reproduziert; Status-Gewinne scheinen an maskulinisierte Attribute statt Neubewerung von Care gebunden. Nur männliche Repräsentation ändert nicht Strukturgleichheit.</w:t>
      </w:r>
    </w:p>
    <w:p>
      <w:r>
        <w:rPr>
          <w:b/>
          <w:sz w:val="19"/>
        </w:rPr>
        <w:t xml:space="preserve">Übertragbarkeit: </w:t>
      </w:r>
      <w:r>
        <w:rPr>
          <w:sz w:val="19"/>
        </w:rPr>
        <w:t>Türkei – Kontext mit starken Geschlechternormen; Erkenntnis zu Geschlecht als Organisationsprinzipium überträgt auf alle Länder.</w:t>
      </w:r>
    </w:p>
    <w:p>
      <w:r>
        <w:rPr>
          <w:color w:val="5A7D3A"/>
          <w:sz w:val="18"/>
        </w:rPr>
        <w:t>https://pubmed.ncbi.nlm.nih.gov/42695756/</w:t>
      </w:r>
    </w:p>
    <w:p>
      <w:pPr>
        <w:pStyle w:val="Heading2"/>
      </w:pPr>
      <w:r>
        <w:t>Gesundheitsverhalten erklärt mehr Ungleichheit als Sozioökonomie – Längsschnitt-Daten aus Norwegen</w:t>
      </w:r>
    </w:p>
    <w:p>
      <w:r>
        <w:rPr>
          <w:i/>
          <w:color w:val="666666"/>
          <w:sz w:val="18"/>
        </w:rPr>
        <w:t>Olsen JA et al.  ·  Qual Life Res  ·  28.06.2026  ·  PMID 42365548</w:t>
      </w:r>
    </w:p>
    <w:p>
      <w:r>
        <w:t>Längsschnittstudie (11.313 Erwachsene, 25-54 Jahre zu Baseline, 21 Jahre Follow-up) zur Erklärung von Ungleichheiten in Lebensqualität durch Shapley-Value-Zerlegung von sozioökonomischen und Verhaltensrisiken.</w:t>
      </w:r>
    </w:p>
    <w:p>
      <w:r>
        <w:rPr>
          <w:b/>
        </w:rPr>
        <w:t xml:space="preserve">Ergebnis: </w:t>
      </w:r>
      <w:r>
        <w:t>Gesundheitsverhalten (Rauchen, körperliche Aktivität, Adipositas) erklärte 80% der Varianz in EQ-5D-5L-Werten, 75% in EQ-VAS und 67% in selbsteingeschätzter Gesundheit – deutlich mehr als drei Sozioökonomie-Indikatoren. Nach Adjustment für Baseline-Gesundheit stieg die Relevanz von Verhalten leicht an. Beide Interventionstypen könnten Ungleichheiten reduzieren.</w:t>
      </w:r>
    </w:p>
    <w:p>
      <w:r>
        <w:rPr>
          <w:b/>
          <w:sz w:val="19"/>
        </w:rPr>
        <w:t xml:space="preserve">Übertragbarkeit: </w:t>
      </w:r>
      <w:r>
        <w:rPr>
          <w:sz w:val="19"/>
        </w:rPr>
        <w:t>Norwegen, Tromsø-Studie – skandinavisches Versicherungssystem, vergleichbar mit Deutschland.</w:t>
      </w:r>
    </w:p>
    <w:p>
      <w:r>
        <w:rPr>
          <w:color w:val="5A7D3A"/>
          <w:sz w:val="18"/>
        </w:rPr>
        <w:t>https://pubmed.ncbi.nlm.nih.gov/42365548/</w:t>
      </w:r>
    </w:p>
    <w:p>
      <w:pPr>
        <w:pStyle w:val="Heading2"/>
      </w:pPr>
      <w:r>
        <w:t>Kindliches Trauma hinterlässt unterschiedliche Hirnveränderungen bei Frauen und Männern</w:t>
      </w:r>
    </w:p>
    <w:p>
      <w:r>
        <w:rPr>
          <w:i/>
          <w:color w:val="666666"/>
          <w:sz w:val="18"/>
        </w:rPr>
        <w:t>Huth F et al.  ·  Eur Neuropsychopharmacol  ·  09.06.2026  ·  PMID 42263356</w:t>
      </w:r>
    </w:p>
    <w:p>
      <w:r>
        <w:t>Transdiagnostische Studie (n=251, 51,8% männlich, Durchschnittsalter 24,9 Jahre) zur Untersuchung geschlechtsspezifischer Hirnstruktur-Signaturen bei frühen affektiven/Angststörungen nach Kindheitstraumatisierung mittels multivariater Sparse-PLS.</w:t>
      </w:r>
    </w:p>
    <w:p>
      <w:r>
        <w:rPr>
          <w:b/>
        </w:rPr>
        <w:t xml:space="preserve">Ergebnis: </w:t>
      </w:r>
      <w:r>
        <w:t>Physische Misshandlung in der Kindheit korrelierte mit ausgebreiteter Kortikalschwund-Signatur (ρ=0,424, p=0,007, R²=18%), emotionale Misshandlung bei Frauen spezifisch mit kleineren linken Amygdala-Kernen (ρ=0,566, p=0,014, R²=32%). Bei Frauen sagte emotionale Misshandlung schlechtere Funktionalität nach 1-2 Jahren voraus (β=-0,45/-0,48, p&lt;0,001), während kleinere Amygdala-Kerne paradox bessere 2-Jahres-Outcomes vorhersagten – möglicherweise reflexiv adaptive Verarbeitung.</w:t>
      </w:r>
    </w:p>
    <w:p>
      <w:r>
        <w:rPr>
          <w:b/>
          <w:sz w:val="19"/>
        </w:rPr>
        <w:t xml:space="preserve">Übertragbarkeit: </w:t>
      </w:r>
      <w:r>
        <w:rPr>
          <w:sz w:val="19"/>
        </w:rPr>
        <w:t>Deutschland – deutsches Klinikenzentrum (Dresden, Berlin, München), vergleichbare EU-Standards.</w:t>
      </w:r>
    </w:p>
    <w:p>
      <w:r>
        <w:rPr>
          <w:color w:val="5A7D3A"/>
          <w:sz w:val="18"/>
        </w:rPr>
        <w:t>https://pubmed.ncbi.nlm.nih.gov/42263356/</w:t>
      </w:r>
    </w:p>
    <w:p>
      <w:pPr>
        <w:pStyle w:val="Heading1"/>
      </w:pPr>
      <w:r>
        <w:t>Aufgenommen am 13.09.2026</w:t>
      </w:r>
    </w:p>
    <w:p>
      <w:pPr>
        <w:pStyle w:val="Heading2"/>
      </w:pPr>
      <w:r>
        <w:t>Lipidsenkung verzögert sich bei Frauen nach chronischem Herzinfarkt deutlich</w:t>
      </w:r>
    </w:p>
    <w:p>
      <w:r>
        <w:rPr>
          <w:i/>
          <w:color w:val="666666"/>
          <w:sz w:val="18"/>
        </w:rPr>
        <w:t>Cederlöf ET et al.  ·  Ups J Med Sci  ·  31.08.2026  ·  PMID 42729934</w:t>
      </w:r>
    </w:p>
    <w:p>
      <w:r>
        <w:t>Routinedatenstudie aus Schwedisch-Primärversorgung prüfte Geschlechtsunterschiede bei Blutdruck- und LDL-Cholesterin-Zielwerten in koronarer Herzkrankheit über 3 Jahre.</w:t>
      </w:r>
    </w:p>
    <w:p>
      <w:r>
        <w:rPr>
          <w:b/>
        </w:rPr>
        <w:t xml:space="preserve">Ergebnis: </w:t>
      </w:r>
      <w:r>
        <w:t>Von 1.452 Patienten (415 Frauen, 1.037 Männer): Frauen initiierten lipidsenkende Therapie verzögert (Hazard Ratio 0,70, KI 0,61–0,80, p&lt;0,001), Therapieanwendung fiel bis Jahr 3 auf 54,1% bei Frauen vs. 73,9% bei Männern (p&lt;0,001). LDL-Ziele bei Jahr 1 erreicht nur 12,1% Frauen vs. 24,7% Männer, Jahr 3 11,2% vs. 15,0%. Untermonitoring von LDL-C besonders bei Frauen evident.</w:t>
      </w:r>
    </w:p>
    <w:p>
      <w:r>
        <w:rPr>
          <w:b/>
          <w:sz w:val="19"/>
        </w:rPr>
        <w:t xml:space="preserve">Übertragbarkeit: </w:t>
      </w:r>
      <w:r>
        <w:rPr>
          <w:sz w:val="19"/>
        </w:rPr>
        <w:t>Schweden, vergleichbare Primärversorgungsstruktur DACH-Region; geschlechtergetrennte Routinedaten vorhanden.</w:t>
      </w:r>
    </w:p>
    <w:p>
      <w:r>
        <w:rPr>
          <w:color w:val="5A7D3A"/>
          <w:sz w:val="18"/>
        </w:rPr>
        <w:t>https://pubmed.ncbi.nlm.nih.gov/42729934/</w:t>
      </w:r>
    </w:p>
    <w:p>
      <w:pPr>
        <w:pStyle w:val="Heading2"/>
      </w:pPr>
      <w:r>
        <w:t>Genetische Architektur der Muskelkraft zeigt geschlechtsstratifizierte Effekte</w:t>
      </w:r>
    </w:p>
    <w:p>
      <w:r>
        <w:rPr>
          <w:i/>
          <w:color w:val="666666"/>
          <w:sz w:val="18"/>
        </w:rPr>
        <w:t>Mu Y et al.  ·  Biol Sex Differ  ·  25.08.2026  ·  PMID 42702734</w:t>
      </w:r>
    </w:p>
    <w:p>
      <w:r>
        <w:t>Genome-wide association study (GWAS) UK Biobank zu Sarkopenieindex (Kreatinin/Cystatin-C-Ratio) mit kombinierten und geschlechtsstratifizierten Analysen zur Identifizierung biologisch dimorphe Mechanismen.</w:t>
      </w:r>
    </w:p>
    <w:p>
      <w:r>
        <w:rPr>
          <w:b/>
        </w:rPr>
        <w:t xml:space="preserve">Ergebnis: </w:t>
      </w:r>
      <w:r>
        <w:t>774 unabhängige SI-assoziierte Loci gesamt (747 kombiniert, 283 männlich, 311 weiblich); 367 neu. Geschlechtsabhängige Loci rs1145093-chr15q21.1-GATM. 17 male-biased, 11 female-biased Gene priorisiert. Androgen-Rezeptor + GATA4 männlich; ESR1 + MYOD1 weiblich. Inverse genetische Korrelation SI-Herzversagen (rg=-0,19, p=2,3×10⁻⁹) und metabolisches Syndrom (rg=-0,12, p=8,5×10⁻⁸).</w:t>
      </w:r>
    </w:p>
    <w:p>
      <w:r>
        <w:rPr>
          <w:b/>
          <w:sz w:val="19"/>
        </w:rPr>
        <w:t xml:space="preserve">Übertragbarkeit: </w:t>
      </w:r>
      <w:r>
        <w:rPr>
          <w:sz w:val="19"/>
        </w:rPr>
        <w:t>UK Biobank, biologische Grundlage sarkopenischer Geschlechtsunterschiede; Präzisionsprävention abhängig von Geschlechtsverifikation.</w:t>
      </w:r>
    </w:p>
    <w:p>
      <w:r>
        <w:rPr>
          <w:color w:val="5A7D3A"/>
          <w:sz w:val="18"/>
        </w:rPr>
        <w:t>https://pubmed.ncbi.nlm.nih.gov/42702734/</w:t>
      </w:r>
    </w:p>
    <w:p>
      <w:pPr>
        <w:pStyle w:val="Heading2"/>
      </w:pPr>
      <w:r>
        <w:t>Mobiles Interventionsprogramm zur Reduktion selbstverletzenden Verhaltens bei LGBTQ+-Personen</w:t>
      </w:r>
    </w:p>
    <w:p>
      <w:r>
        <w:rPr>
          <w:i/>
          <w:color w:val="666666"/>
          <w:sz w:val="18"/>
        </w:rPr>
        <w:t>Bresin K et al.  ·  Suicide Life Threat Behav  ·  Okt. 2026  ·  PMID 42698200</w:t>
      </w:r>
    </w:p>
    <w:p>
      <w:r>
        <w:t>Randomisierte Experimentalstudie (n=55) LGBTQ+-Personen mit Selbstverletzungsgedanken/-verhalten: 14 Tage Baseline-EMA, dann Randomisierung zu Brief-Messaging (Zugehörigkeit, Lebenssinn) oder Kontrolle (14 Tage), dann 14 Tage Post-EMA.</w:t>
      </w:r>
    </w:p>
    <w:p>
      <w:r>
        <w:rPr>
          <w:b/>
        </w:rPr>
        <w:t xml:space="preserve">Ergebnis: </w:t>
      </w:r>
      <w:r>
        <w:t>Interventionsgruppe: Selbstverletzungsgedanken und -planung stabil, Selbstverletzungsverhalten, thwarted belongingness und perceived burdensomeness signifikant abnehmend. Kontrollgruppe: Selbstverletzungsgedanken/planung signifikant ansteigend, keine Veränderung bei Verhalten/belongingness/burdensomeness. Effekt unterstützt interpersonale Suizidtheorie.</w:t>
      </w:r>
    </w:p>
    <w:p>
      <w:r>
        <w:rPr>
          <w:b/>
          <w:sz w:val="19"/>
        </w:rPr>
        <w:t xml:space="preserve">Übertragbarkeit: </w:t>
      </w:r>
      <w:r>
        <w:rPr>
          <w:sz w:val="19"/>
        </w:rPr>
        <w:t>USA; konzeptueller Ansatz (Zugehörigkeit, Burdenedness) ist international gültig, Implementierung als Mhealth skalierbar.</w:t>
      </w:r>
    </w:p>
    <w:p>
      <w:r>
        <w:rPr>
          <w:color w:val="5A7D3A"/>
          <w:sz w:val="18"/>
        </w:rPr>
        <w:t>https://pubmed.ncbi.nlm.nih.gov/42698200/</w:t>
      </w:r>
    </w:p>
    <w:p>
      <w:pPr>
        <w:pStyle w:val="Heading2"/>
      </w:pPr>
      <w:r>
        <w:t>Geschlechtersensible Palliativversorgung: Schweizer Studienprojekt zu Ungleichheiten am Lebensende</w:t>
      </w:r>
    </w:p>
    <w:p>
      <w:r>
        <w:rPr>
          <w:i/>
          <w:color w:val="666666"/>
          <w:sz w:val="18"/>
        </w:rPr>
        <w:t>Schwind B et al.  ·  BMJ Open  ·  28.06.2026  ·  PMID 42366007</w:t>
      </w:r>
    </w:p>
    <w:p>
      <w:r>
        <w:t>Mixed-Methods-Studienprotokoll untersucht, wie Geschlecht und Diversität Zugang zu und Qualität von Palliativversorgung in der Schweiz systematisch beeinflussen, mit Ethnographie, Netzwerkanalyse und Wissenstransfer.</w:t>
      </w:r>
    </w:p>
    <w:p>
      <w:r>
        <w:rPr>
          <w:b/>
        </w:rPr>
        <w:t xml:space="preserve">Ergebnis: </w:t>
      </w:r>
      <w:r>
        <w:t>Geplant: nationale Befragung von Fachkräften zur Geschlechts- und Diversitätsbewusstheit; Ethnographie in 2 Palliativstationen; Netzwerkmodellierung über Zurich; Ko-Kreation von Evidenz mit Patienten, Angehörigen, Fachkräften und Politik zur Verbesserung Equity-orientierter Praxis.</w:t>
      </w:r>
    </w:p>
    <w:p>
      <w:r>
        <w:rPr>
          <w:b/>
          <w:sz w:val="19"/>
        </w:rPr>
        <w:t xml:space="preserve">Übertragbarkeit: </w:t>
      </w:r>
      <w:r>
        <w:rPr>
          <w:sz w:val="19"/>
        </w:rPr>
        <w:t>Schweiz, deutschsprachig, vergleichbares Gesundheitssystem; intersektionaler Ansatz direkt auf Versorgungsgerechtigkeit ausgerichtet.</w:t>
      </w:r>
    </w:p>
    <w:p>
      <w:r>
        <w:rPr>
          <w:color w:val="5A7D3A"/>
          <w:sz w:val="18"/>
        </w:rPr>
        <w:t>https://pubmed.ncbi.nlm.nih.gov/42366007/</w:t>
      </w:r>
    </w:p>
    <w:p>
      <w:pPr>
        <w:pStyle w:val="Heading2"/>
      </w:pPr>
      <w:r>
        <w:t>Lebensqualität nach genitalchirurgischer Rekonstruktion bei Mädchen mit kongenitalem Adrenalhyperplasmus</w:t>
      </w:r>
    </w:p>
    <w:p>
      <w:r>
        <w:rPr>
          <w:i/>
          <w:color w:val="666666"/>
          <w:sz w:val="18"/>
        </w:rPr>
        <w:t>Heidtmann F et al.  ·  J Pediatr Urol  ·  30.05.2026  ·  PMID 42275809</w:t>
      </w:r>
    </w:p>
    <w:p>
      <w:r>
        <w:t>Deutsches Zentrum (Jena): Querschnittsumfrage 25 Patientinnen (von 56) nach Genitalchirurgie zwischen 2007–2016 mit validiertem Fragebogen zu Lebensqualität und Geschlechtsidentität.</w:t>
      </w:r>
    </w:p>
    <w:p>
      <w:r>
        <w:rPr>
          <w:b/>
        </w:rPr>
        <w:t xml:space="preserve">Ergebnis: </w:t>
      </w:r>
      <w:r>
        <w:t>Alle 25 Patientinnen: Lebensqualitätsscores vergleichbar mit gesunden Referenzgruppen (Kinder 3–6 J. und Jugendliche normal; Kinder 7–13 J. leicht erhöht). Keiner der 5 Jugendlichen ≥14 Jahre zeigte Geschlechtsdysphorie (UGDS-Scores &lt;40). Alle 14 befragten Familien bevorzugten frühzeitigen Operationszeitpunkt, kein Bedauern geäußert.</w:t>
      </w:r>
    </w:p>
    <w:p>
      <w:r>
        <w:rPr>
          <w:b/>
          <w:sz w:val="19"/>
        </w:rPr>
        <w:t xml:space="preserve">Übertragbarkeit: </w:t>
      </w:r>
      <w:r>
        <w:rPr>
          <w:sz w:val="19"/>
        </w:rPr>
        <w:t>Deutschland, Single-Center, kleine Stichprobe; zeigt praktische Langzeitergebnisse chirurgischer Versorgung.</w:t>
      </w:r>
    </w:p>
    <w:p>
      <w:r>
        <w:rPr>
          <w:color w:val="5A7D3A"/>
          <w:sz w:val="18"/>
        </w:rPr>
        <w:t>https://pubmed.ncbi.nlm.nih.gov/42275809/</w:t>
      </w:r>
    </w:p>
    <w:p>
      <w:pPr>
        <w:pStyle w:val="Heading2"/>
      </w:pPr>
      <w:r>
        <w:t>Arbeitslosigkeit und niedriges Einkommen verschärfen Lebensqualität ungleich in sechs Ländern</w:t>
      </w:r>
    </w:p>
    <w:p>
      <w:r>
        <w:rPr>
          <w:i/>
          <w:color w:val="666666"/>
          <w:sz w:val="18"/>
        </w:rPr>
        <w:t>Eijkens J et al.  ·  Qual Life Res  ·  08.06.2026  ·  PMID 42260238</w:t>
      </w:r>
    </w:p>
    <w:p>
      <w:r>
        <w:t>Querschnittstudie März–Juni 2020 (COVID-19): 17.607 Respondenten (18–75 J.) aus China, Italien, Niederlande, Schweden, UK, USA zur Assoziation von Bildung, Einkommen und Erwerbsstatus mit EQ-5D-5L-Lebensqualität.</w:t>
      </w:r>
    </w:p>
    <w:p>
      <w:r>
        <w:rPr>
          <w:b/>
        </w:rPr>
        <w:t xml:space="preserve">Ergebnis: </w:t>
      </w:r>
      <w:r>
        <w:t>In allen Ländern außer Italien: niedrigere Bildung → höhere Health Impairment Level Sum Scores (schlechtere Qualität). UK größter Bildungsabstand. Niedrigeres Einkommen in Niederlande, Schweden, UK, USA mit schlechterer Qualität verknüpft (China/Italien keine Einkommensdifferenz). Arbeitslosigkeit über alle 6 Länder konstant stärkster Prädiktor für schlechtere Qualität.</w:t>
      </w:r>
    </w:p>
    <w:p>
      <w:r>
        <w:rPr>
          <w:b/>
          <w:sz w:val="19"/>
        </w:rPr>
        <w:t xml:space="preserve">Übertragbarkeit: </w:t>
      </w:r>
      <w:r>
        <w:rPr>
          <w:sz w:val="19"/>
        </w:rPr>
        <w:t>Niederlande, Schweden, UK - europäische Systeme; vergleichbar mit DACH-Sozialversicherungen, Arbeitsmarktstrukturen.</w:t>
      </w:r>
    </w:p>
    <w:p>
      <w:r>
        <w:rPr>
          <w:color w:val="5A7D3A"/>
          <w:sz w:val="18"/>
        </w:rPr>
        <w:t>https://pubmed.ncbi.nlm.nih.gov/42260238/</w:t>
      </w:r>
    </w:p>
    <w:p>
      <w:pPr>
        <w:pStyle w:val="Heading2"/>
      </w:pPr>
      <w:r>
        <w:t>Langwirksame PrEP in Italien: Awareness, Akzeptanz und ungedeckter Bedarf nach Geschlecht und Sexualität</w:t>
      </w:r>
    </w:p>
    <w:p>
      <w:r>
        <w:rPr>
          <w:i/>
          <w:color w:val="666666"/>
          <w:sz w:val="18"/>
        </w:rPr>
        <w:t>Wang H et al.  ·  HIV Res Clin Pract  ·  31.12.2026  ·  PMID 42186205</w:t>
      </w:r>
    </w:p>
    <w:p>
      <w:r>
        <w:t>Querschnittstudie PROTECT Oktober 2023–April 2024: 2.215 HIV-negative Personen (1.707 MSM, 32 trans*, 267 Cis-Männer, 209 Cis-Frauen) zu oralem/langwirksamem PrEP-Bewusstsein, Anwendung und Intentionen.</w:t>
      </w:r>
    </w:p>
    <w:p>
      <w:r>
        <w:rPr>
          <w:b/>
        </w:rPr>
        <w:t xml:space="preserve">Ergebnis: </w:t>
      </w:r>
      <w:r>
        <w:t>Orale PrEP Anwendung 19,0% gesamt; 19,8% davon suboptimale Adhärenz, 10,0% Abbruch. LA-PrEP-Intention 47,0%. Ungedeckter Präventionsbedarf 34,8% (LA-PrEP könnte adressieren). MSM höchste Engagement (ungedeckter Bedarf in PrEP-naiven und Abbrechern hoch, aber LA-PrEP-Intention niedrig = Mismatch). Cis-Männer niedrigste Engagement. Weniger urbanisierte Gegenden höherer ungedeckter Bedarf.</w:t>
      </w:r>
    </w:p>
    <w:p>
      <w:r>
        <w:rPr>
          <w:b/>
          <w:sz w:val="19"/>
        </w:rPr>
        <w:t xml:space="preserve">Übertragbarkeit: </w:t>
      </w:r>
      <w:r>
        <w:rPr>
          <w:sz w:val="19"/>
        </w:rPr>
        <w:t>Italien, vergleichbare europäische Gesundheitssystem und LGBT+-Versorgungslandschaft; zeigt Zugangsbarrieren nach Bevölkerungsgruppe.</w:t>
      </w:r>
    </w:p>
    <w:p>
      <w:r>
        <w:rPr>
          <w:color w:val="5A7D3A"/>
          <w:sz w:val="18"/>
        </w:rPr>
        <w:t>https://pubmed.ncbi.nlm.nih.gov/42186205/</w:t>
      </w:r>
    </w:p>
    <w:p>
      <w:pPr>
        <w:pStyle w:val="Heading1"/>
      </w:pPr>
      <w:r>
        <w:t>Aufgenommen am 12.09.2026</w:t>
      </w:r>
    </w:p>
    <w:p>
      <w:pPr>
        <w:pStyle w:val="Heading2"/>
      </w:pPr>
      <w:r>
        <w:t>Sarkopenie bei Typ-2-Diabetes im Alter: Geschlechtsunterschiede in Muskelbildgebung und Diagnostik</w:t>
      </w:r>
    </w:p>
    <w:p>
      <w:r>
        <w:rPr>
          <w:i/>
          <w:color w:val="666666"/>
          <w:sz w:val="18"/>
        </w:rPr>
        <w:t>Chen Y et al.  ·  Geriatr Gerontol Int  ·  Sept. 2026  ·  PMID 42723363</w:t>
      </w:r>
    </w:p>
    <w:p>
      <w:r>
        <w:t>Querschnittstudie (n=269 ältere Diabetiker) mit Shear-Wave-Elastographie des Gastrocnemius und BMI zur Diagnose von Sarkopenie-Stadien – logistische Regressionen mit Geschlechtsstratifizierung.</w:t>
      </w:r>
    </w:p>
    <w:p>
      <w:r>
        <w:rPr>
          <w:b/>
        </w:rPr>
        <w:t xml:space="preserve">Ergebnis: </w:t>
      </w:r>
      <w:r>
        <w:t>Kontrahierte Elastizität (E-cont) unabhängiger Risikofaktor in beiden Geschlechtern. Kombiniertes Modell (AUC 0,988; Sensitivität 92%, Spezifität 95,4%); geschlechtsstratifiziert AUC 0,984 (Männer), 0,991 (Frauen). Schutzeffekt von E-cont stärker bei Frauen (OR 0,710 vs. 0,806 Männer), von BMI stärker bei Männern (OR 0,358 vs. 0,388 Frauen). Früher Indikator für Muskelschwund.</w:t>
      </w:r>
    </w:p>
    <w:p>
      <w:r>
        <w:rPr>
          <w:b/>
          <w:sz w:val="19"/>
        </w:rPr>
        <w:t xml:space="preserve">Übertragbarkeit: </w:t>
      </w:r>
      <w:r>
        <w:rPr>
          <w:sz w:val="19"/>
        </w:rPr>
        <w:t>Ostasien, diagnostische Messparameter biologisch geschlechtsDifferential, Übertragbarkeit auf deutsche Kliniken gegeben</w:t>
      </w:r>
    </w:p>
    <w:p>
      <w:r>
        <w:rPr>
          <w:color w:val="5A7D3A"/>
          <w:sz w:val="18"/>
        </w:rPr>
        <w:t>https://pubmed.ncbi.nlm.nih.gov/42723363/</w:t>
      </w:r>
    </w:p>
    <w:p>
      <w:pPr>
        <w:pStyle w:val="Heading2"/>
      </w:pPr>
      <w:r>
        <w:t>Geschlechtsunterschiede im Zigarettenrauchen: 39 afrikanische Länder</w:t>
      </w:r>
    </w:p>
    <w:p>
      <w:r>
        <w:rPr>
          <w:i/>
          <w:color w:val="666666"/>
          <w:sz w:val="18"/>
        </w:rPr>
        <w:t>Osborne A et al.  ·  Glob Health Action  ·  08.09.2026  ·  PMID 42708187</w:t>
      </w:r>
    </w:p>
    <w:p>
      <w:r>
        <w:t>WHO-Daten zur Rauchprävalenz (2022) nach Geschlecht für Personen ≥15 Jahre – geschlechtsstratifizierte Vergleiche mit Absolute Differences und Ratios in 39 Ländern.</w:t>
      </w:r>
    </w:p>
    <w:p>
      <w:r>
        <w:rPr>
          <w:b/>
        </w:rPr>
        <w:t xml:space="preserve">Ergebnis: </w:t>
      </w:r>
      <w:r>
        <w:t>Männerquoten überall höher. Gesamtprävalenz 1,7% (Ghana) bis 18,2% (Seychellen). Geschlechtsdifferenz 3,3 Prozentpunkte (Ghana) bis 36,4 (Lesotho); &gt;25 pp in Mauritius, Algerien, Madagaskar, Seychellen. Frauenrauchen höchst in Südafrika (5,1%) und Seychellen (4,5%). Erklärungen (Geschlechternormen, Marketing, Policy) nicht untersucht – zeigen biologische oder Zugangsbarrieren nicht.</w:t>
      </w:r>
    </w:p>
    <w:p>
      <w:r>
        <w:rPr>
          <w:b/>
          <w:sz w:val="19"/>
        </w:rPr>
        <w:t xml:space="preserve">Übertragbarkeit: </w:t>
      </w:r>
      <w:r>
        <w:rPr>
          <w:sz w:val="19"/>
        </w:rPr>
        <w:t>Subsahara-Afrika, andere Ausgangslage, Kausalität nicht geklärt – Baseline für weiterführende Studien</w:t>
      </w:r>
    </w:p>
    <w:p>
      <w:r>
        <w:rPr>
          <w:color w:val="5A7D3A"/>
          <w:sz w:val="18"/>
        </w:rPr>
        <w:t>https://pubmed.ncbi.nlm.nih.gov/42708187/</w:t>
      </w:r>
    </w:p>
    <w:p>
      <w:pPr>
        <w:pStyle w:val="Heading2"/>
      </w:pPr>
      <w:r>
        <w:t>Nachbarschaftliche Gesundheitsungleichheit im UK: Gemeinschaftsgeführte Massnahmen zeigen messbare Ergebnisse</w:t>
      </w:r>
    </w:p>
    <w:p>
      <w:r>
        <w:rPr>
          <w:i/>
          <w:color w:val="666666"/>
          <w:sz w:val="18"/>
        </w:rPr>
        <w:t>McNally L  ·  Health Promot Int  ·  01.07.2026  ·  PMID 42545226</w:t>
      </w:r>
    </w:p>
    <w:p>
      <w:r>
        <w:t>Fallstudie Priority Neighbourhood Development (PND) Programm in Worcestershire – Evaluation nach 18 Monaten mit Notfallaufnahmen, Kinderwohlfahrts-Referrals, Wohlbefinden und sozialer Isolation.</w:t>
      </w:r>
    </w:p>
    <w:p>
      <w:r>
        <w:rPr>
          <w:b/>
        </w:rPr>
        <w:t xml:space="preserve">Ergebnis: </w:t>
      </w:r>
      <w:r>
        <w:t>Notfallaufnahmen gesunken, Kinderwohlfahrts-Referrals reduziert, Wohlbefinden verbessert, soziale Isolation verringert. Qualitativ: gestärkte Gemeinschaftsaktion, gestärkte Befähigung, verbesserte Versorgungszugang. Modell skaliert auf County-Ebene und in Policy/Vergabe verankert. Mechanismus: Vermögensbasierte Entwicklung, Bewohner-Leadership, Querschnitts-Koordination reduzierten Ungleichheit strukturell – nicht geschlechtergetrennt ausgewertet.</w:t>
      </w:r>
    </w:p>
    <w:p>
      <w:r>
        <w:rPr>
          <w:b/>
          <w:sz w:val="19"/>
        </w:rPr>
        <w:t xml:space="preserve">Übertragbarkeit: </w:t>
      </w:r>
      <w:r>
        <w:rPr>
          <w:sz w:val="19"/>
        </w:rPr>
        <w:t>UK-Programm, aber Interventionsprinzipien auf deutsche Kommunen übertragbar; Geschlechtsdifferential nicht im Mittelpunkt</w:t>
      </w:r>
    </w:p>
    <w:p>
      <w:r>
        <w:rPr>
          <w:color w:val="5A7D3A"/>
          <w:sz w:val="18"/>
        </w:rPr>
        <w:t>https://pubmed.ncbi.nlm.nih.gov/42545226/</w:t>
      </w:r>
    </w:p>
    <w:p>
      <w:pPr>
        <w:pStyle w:val="Heading2"/>
      </w:pPr>
      <w:r>
        <w:t>Krebs im ländlichen Raum: Medienberichterstattung über räumliche Ungleichheit im Vereinigten Königreich</w:t>
      </w:r>
    </w:p>
    <w:p>
      <w:r>
        <w:rPr>
          <w:i/>
          <w:color w:val="666666"/>
          <w:sz w:val="18"/>
        </w:rPr>
        <w:t>Tyler I et al.  ·  Health Place  ·  30.06.2026  ·  PMID 42378953</w:t>
      </w:r>
    </w:p>
    <w:p>
      <w:r>
        <w:t>Analyse von 10.812 Zeitungsartikeln (2015-2025) zu ländlichen und Küstenkrebs-Ungleichheiten – 188 geeignete Artikel identifiziert und auf Framing, Themen und regionale Unterschiede codiert.</w:t>
      </w:r>
    </w:p>
    <w:p>
      <w:r>
        <w:rPr>
          <w:b/>
        </w:rPr>
        <w:t xml:space="preserve">Ergebnis: </w:t>
      </w:r>
      <w:r>
        <w:t>Berichterstattung begrenzt, aber zeitlich zunehmend. Hauptthemen: Reisebelastung, ungleicher Zugang zu Behandlung, Personalknappheit, Servicezentralisierung. 86% Soziopolitisches Framing (Struktur/Politik-getrieben). Geografische Schiefheit: Überrepräsentation Schottlands gegenüber England, Nordirland, Wales – Zugang und Leitlinien in strukturellen Hindernissen evident.</w:t>
      </w:r>
    </w:p>
    <w:p>
      <w:r>
        <w:rPr>
          <w:b/>
          <w:sz w:val="19"/>
        </w:rPr>
        <w:t xml:space="preserve">Übertragbarkeit: </w:t>
      </w:r>
      <w:r>
        <w:rPr>
          <w:sz w:val="19"/>
        </w:rPr>
        <w:t>UK-Medienanalyse, Zugangswegs-Unterschiede auf europäische Gesundheitssysteme übertragbar</w:t>
      </w:r>
    </w:p>
    <w:p>
      <w:r>
        <w:rPr>
          <w:color w:val="5A7D3A"/>
          <w:sz w:val="18"/>
        </w:rPr>
        <w:t>https://pubmed.ncbi.nlm.nih.gov/42378953/</w:t>
      </w:r>
    </w:p>
    <w:p>
      <w:pPr>
        <w:pStyle w:val="Heading2"/>
      </w:pPr>
      <w:r>
        <w:t>Intersektionale Unterschiede in selbstbewerteter Gesundheit in Deutschland nach Geschlecht, Migration, Bildung und Einkommen</w:t>
      </w:r>
    </w:p>
    <w:p>
      <w:r>
        <w:rPr>
          <w:i/>
          <w:color w:val="666666"/>
          <w:sz w:val="18"/>
        </w:rPr>
        <w:t>Slesinski SC et al.  ·  J Epidemiol Community Health  ·  10.09.2026  ·  PMID 42331609</w:t>
      </w:r>
    </w:p>
    <w:p>
      <w:r>
        <w:t>Deutsche Querschnittanalyse der Intersektionalität von Geschlecht, Migration und Sozioökonomie (n=179.861) mit Poisson-Regression auf selbstbewertete Gesundheit.</w:t>
      </w:r>
    </w:p>
    <w:p>
      <w:r>
        <w:rPr>
          <w:b/>
        </w:rPr>
        <w:t xml:space="preserve">Ergebnis: </w:t>
      </w:r>
      <w:r>
        <w:t>Armutsquote für schlechte Gesundheit stieg von 6,3% (hochgebildete, einkommensstarke Männer) auf 22,6% (niedriggebildete, einkommensarme Frauen mit Migrationshintergrund). Relative Excessrisiken durch Interaktion zeigten synergistische Effekte: Frauen mit Migration und niedrigem Einkommen/Bildung hatten disproportional höhere Risiken als Summe ihrer einzelnen Positionen. Migrierte Frauen mit türkischem Hintergrund betroffen.</w:t>
      </w:r>
    </w:p>
    <w:p>
      <w:r>
        <w:rPr>
          <w:b/>
          <w:sz w:val="19"/>
        </w:rPr>
        <w:t xml:space="preserve">Übertragbarkeit: </w:t>
      </w:r>
      <w:r>
        <w:rPr>
          <w:sz w:val="19"/>
        </w:rPr>
        <w:t>Deutsche Kohorte, vergleichbare Dokumentationspflichten, direkt auf deutsches GKV-System übertragbar</w:t>
      </w:r>
    </w:p>
    <w:p>
      <w:r>
        <w:rPr>
          <w:color w:val="5A7D3A"/>
          <w:sz w:val="18"/>
        </w:rPr>
        <w:t>https://pubmed.ncbi.nlm.nih.gov/42331609/</w:t>
      </w:r>
    </w:p>
    <w:p>
      <w:pPr>
        <w:pStyle w:val="Heading2"/>
      </w:pPr>
      <w:r>
        <w:t>Geschlechtsunterschiede in der Gesundheitsberichterstattung: Biomarker zeigen minimale Bias-Unterschiede</w:t>
      </w:r>
    </w:p>
    <w:p>
      <w:r>
        <w:rPr>
          <w:i/>
          <w:color w:val="666666"/>
          <w:sz w:val="18"/>
        </w:rPr>
        <w:t>Oksuzyan A et al.  ·  Demography  ·  01.06.2026  ·  PMID 42240458</w:t>
      </w:r>
    </w:p>
    <w:p>
      <w:r>
        <w:t>Vergleich Selbstbewertete Gesundheit mit objektiven Biomarkern (Health and Retirement Study) nach Geschlecht und Alter zur Prüfung von Reporting Bias.</w:t>
      </w:r>
    </w:p>
    <w:p>
      <w:r>
        <w:rPr>
          <w:b/>
        </w:rPr>
        <w:t xml:space="preserve">Ergebnis: </w:t>
      </w:r>
      <w:r>
        <w:t>Geringen Reporting-Bias zwischen Männern und Frauen. White respondents jünger: kaum Bias. White respondents ≥60 Jahre: optimistische Bewertung beider Geschlechter. Schwarze: inkonsistent über Alter. Hispanische: pessimistischer. Keine systematische Geschlechterdifferenz im Reporting – widerlegt Stereotype weiblicher Überbewertung von Symptomen. Optimismus steigt mit Alter.</w:t>
      </w:r>
    </w:p>
    <w:p>
      <w:r>
        <w:rPr>
          <w:b/>
          <w:sz w:val="19"/>
        </w:rPr>
        <w:t xml:space="preserve">Übertragbarkeit: </w:t>
      </w:r>
      <w:r>
        <w:rPr>
          <w:sz w:val="19"/>
        </w:rPr>
        <w:t>USA, aber Reporting-Bias-Befund ist Methoden-Beitrag, nicht Kausalität-abhängig – teilweise übertragbar</w:t>
      </w:r>
    </w:p>
    <w:p>
      <w:r>
        <w:rPr>
          <w:color w:val="5A7D3A"/>
          <w:sz w:val="18"/>
        </w:rPr>
        <w:t>https://pubmed.ncbi.nlm.nih.gov/42240458/</w:t>
      </w:r>
    </w:p>
    <w:p>
      <w:pPr>
        <w:pStyle w:val="Heading1"/>
      </w:pPr>
      <w:r>
        <w:t>Aufgenommen am 11.09.2026</w:t>
      </w:r>
    </w:p>
    <w:p>
      <w:pPr>
        <w:pStyle w:val="Heading2"/>
      </w:pPr>
      <w:r>
        <w:t>Antidepressant Behandlung bei Depression: Geschlechter-unterschiede in Endocannabinoid-Biomarkern</w:t>
      </w:r>
    </w:p>
    <w:p>
      <w:r>
        <w:rPr>
          <w:i/>
          <w:color w:val="666666"/>
          <w:sz w:val="18"/>
        </w:rPr>
        <w:t>Sorkhou M et al.  ·  Eur Arch Psychiatry Clin Neurosci  ·  25.08.2026  ·  PMID 42640306</w:t>
      </w:r>
    </w:p>
    <w:p>
      <w:r>
        <w:t>Sekundäranalyse einer kanadischen antidepressiven Behandlungsstudie mit 178 Patienten auf Geschlechtsunterschiede in Endocannabinoid-Biomarkern und deren Assoziation zu Behandlungserfolg geprüft.</w:t>
      </w:r>
    </w:p>
    <w:p>
      <w:r>
        <w:rPr>
          <w:b/>
        </w:rPr>
        <w:t xml:space="preserve">Ergebnis: </w:t>
      </w:r>
      <w:r>
        <w:t>Keine Unterschiede in mRNA oder SNP nach Korrektur gefunden; tiefere DAGLA-mRNA bei Männern mit besserem Symptomrückgang in Woche 8 (FDR-korrigiert), nicht bei Frauen. Größere Studien nötig zur Klärung geschlechtsspezifischer Effekte.</w:t>
      </w:r>
    </w:p>
    <w:p>
      <w:r>
        <w:rPr>
          <w:b/>
          <w:sz w:val="19"/>
        </w:rPr>
        <w:t xml:space="preserve">Übertragbarkeit: </w:t>
      </w:r>
      <w:r>
        <w:rPr>
          <w:sz w:val="19"/>
        </w:rPr>
        <w:t>Kanada - Mechanismus unklar, Biomarker ohne Versorgungsbezug.</w:t>
      </w:r>
    </w:p>
    <w:p>
      <w:r>
        <w:rPr>
          <w:color w:val="5A7D3A"/>
          <w:sz w:val="18"/>
        </w:rPr>
        <w:t>https://pubmed.ncbi.nlm.nih.gov/42640306/</w:t>
      </w:r>
    </w:p>
    <w:p>
      <w:pPr>
        <w:pStyle w:val="Heading2"/>
      </w:pPr>
      <w:r>
        <w:t>Hochaltrigkeit in Deutschland: Demografie, regionale Ungleichheit und Gesundheit</w:t>
      </w:r>
    </w:p>
    <w:p>
      <w:r>
        <w:rPr>
          <w:i/>
          <w:color w:val="666666"/>
          <w:sz w:val="18"/>
        </w:rPr>
        <w:t>Wolter B et al.  ·  Bundesgesundheitsblatt Gesundheitsforschung Gesundheitsschutz  ·  18.08.2026  ·  PMID 42611051</w:t>
      </w:r>
    </w:p>
    <w:p>
      <w:r>
        <w:t>Übersicht zur Lebenslage und Gesundheit von über 80-Jährigen in Deutschland basierend auf Gesundheit-65+-Studie (RKI) und D80+-Studie mit Fokus auf geschlechtsspezifische Unterschiede.</w:t>
      </w:r>
    </w:p>
    <w:p>
      <w:r>
        <w:rPr>
          <w:b/>
        </w:rPr>
        <w:t xml:space="preserve">Ergebnis: </w:t>
      </w:r>
      <w:r>
        <w:t>Frauen überwiegen unter Hochaltrigen deutlich; geschlechtsspezifische Unterschiede in Einkommen, Lebenserwartung und Familienstand dokumentiert; strukturschwache Regionen tragen überproportional viele ältere Menschen mit schlechteren Versorgungsstrukturen.</w:t>
      </w:r>
    </w:p>
    <w:p>
      <w:r>
        <w:rPr>
          <w:b/>
          <w:sz w:val="19"/>
        </w:rPr>
        <w:t xml:space="preserve">Übertragbarkeit: </w:t>
      </w:r>
      <w:r>
        <w:rPr>
          <w:sz w:val="19"/>
        </w:rPr>
        <w:t>Deutsche Routinedaten, RKI-Studien, direkt anwendbar auf Versorgungsplanung.</w:t>
      </w:r>
    </w:p>
    <w:p>
      <w:r>
        <w:rPr>
          <w:color w:val="5A7D3A"/>
          <w:sz w:val="18"/>
        </w:rPr>
        <w:t>https://pubmed.ncbi.nlm.nih.gov/42611051/</w:t>
      </w:r>
    </w:p>
    <w:p>
      <w:pPr>
        <w:pStyle w:val="Heading2"/>
      </w:pPr>
      <w:r>
        <w:t>Schlafapnoe und Sterblichkeit: Geschlechterunterschiede in US-Veteranen-kohorte</w:t>
      </w:r>
    </w:p>
    <w:p>
      <w:r>
        <w:rPr>
          <w:i/>
          <w:color w:val="666666"/>
          <w:sz w:val="18"/>
        </w:rPr>
        <w:t>Azarian M et al.  ·  Respir Med  ·  17.08.2026  ·  PMID 42607739</w:t>
      </w:r>
    </w:p>
    <w:p>
      <w:r>
        <w:t>Retrospektive Kohortenstudie mit 146.145 Veteranen (13,2% Frauen) zu Geschlechtsunterschieden in der Assoziation zwischen schwerer Schlafapnoe (AHI≥30) und Gesamtsterblichkeit.</w:t>
      </w:r>
    </w:p>
    <w:p>
      <w:r>
        <w:rPr>
          <w:b/>
        </w:rPr>
        <w:t xml:space="preserve">Ergebnis: </w:t>
      </w:r>
      <w:r>
        <w:t>Nach Vollausgleich: schwere Schlafapnoe mit niedrigerer Mortalität bei Frauen (aOR 0,64, 95%-KI 0,54–0,76) und Männern (aOR 0,56, 95%-KI 0,54–0,58); in mittlerem und höherem Alter ausgeprägter, keine signifikanten Effekte in jungen Jahren.</w:t>
      </w:r>
    </w:p>
    <w:p>
      <w:r>
        <w:rPr>
          <w:b/>
          <w:sz w:val="19"/>
        </w:rPr>
        <w:t xml:space="preserve">Übertragbarkeit: </w:t>
      </w:r>
      <w:r>
        <w:rPr>
          <w:sz w:val="19"/>
        </w:rPr>
        <w:t>USA-Veteranen, Survivor-Bias likely, Behandlung unklar – nur Sicherheitsbefund übertragbar.</w:t>
      </w:r>
    </w:p>
    <w:p>
      <w:r>
        <w:rPr>
          <w:color w:val="5A7D3A"/>
          <w:sz w:val="18"/>
        </w:rPr>
        <w:t>https://pubmed.ncbi.nlm.nih.gov/42607739/</w:t>
      </w:r>
    </w:p>
    <w:p>
      <w:pPr>
        <w:pStyle w:val="Heading2"/>
      </w:pPr>
      <w:r>
        <w:t>Frühgeburtsungleichheit in England: deprivations- und ethnizitätsgradient in versorgungspolitik</w:t>
      </w:r>
    </w:p>
    <w:p>
      <w:r>
        <w:rPr>
          <w:i/>
          <w:color w:val="666666"/>
          <w:sz w:val="18"/>
        </w:rPr>
        <w:t>Nsugbe E et al.  ·  Soc Sci Med  ·  31.07.2026  ·  PMID 42551388</w:t>
      </w:r>
    </w:p>
    <w:p>
      <w:r>
        <w:t>Analyse von 1.179.195 Lebendgeburten 2020–2021 in England zur Quantifizierung von Armuts- und Ethnizitätsgradienten in Frühgeburtsraten mit Übersetzung in vorrangige Zielgruppen.</w:t>
      </w:r>
    </w:p>
    <w:p>
      <w:r>
        <w:rPr>
          <w:b/>
        </w:rPr>
        <w:t xml:space="preserve">Ergebnis: </w:t>
      </w:r>
      <w:r>
        <w:t>Monotone Zunahme von 6,39% (reichste Quintile) zu 8,71% (ärmste Quintile); ärmste Quintile verantwortlich für 57,7% der deprivationsattributierten Überschussfälle; schwarze Kariben 10,22% (RR 1,37 vs. weiß-britisch).</w:t>
      </w:r>
    </w:p>
    <w:p>
      <w:r>
        <w:rPr>
          <w:b/>
          <w:sz w:val="19"/>
        </w:rPr>
        <w:t xml:space="preserve">Übertragbarkeit: </w:t>
      </w:r>
      <w:r>
        <w:rPr>
          <w:sz w:val="19"/>
        </w:rPr>
        <w:t>England, vergleichbare Systeme (Niederlande, Belgien), direkt nutzbar für gezielte Ressourcenallokation.</w:t>
      </w:r>
    </w:p>
    <w:p>
      <w:r>
        <w:rPr>
          <w:color w:val="5A7D3A"/>
          <w:sz w:val="18"/>
        </w:rPr>
        <w:t>https://pubmed.ncbi.nlm.nih.gov/42551388/</w:t>
      </w:r>
    </w:p>
    <w:p>
      <w:pPr>
        <w:pStyle w:val="Heading2"/>
      </w:pPr>
      <w:r>
        <w:t>Indikatoren in Mutter-Neugeborenen-Gesundheit: globale messung neu denken</w:t>
      </w:r>
    </w:p>
    <w:p>
      <w:r>
        <w:rPr>
          <w:i/>
          <w:color w:val="666666"/>
          <w:sz w:val="18"/>
        </w:rPr>
        <w:t>Molenaar J et al.  ·  Soc Sci Med  ·  21.07.2026  ·  PMID 42501578</w:t>
      </w:r>
    </w:p>
    <w:p>
      <w:r>
        <w:t>Qualitative Studie mit 24 Interviews 2023–2025 mit globalen Akteuren zu Herausforderungen der Indikatoren-standardisierung und -priorisierung in Mutter- und Neugeborenen-gesundheit.</w:t>
      </w:r>
    </w:p>
    <w:p>
      <w:r>
        <w:rPr>
          <w:b/>
        </w:rPr>
        <w:t xml:space="preserve">Ergebnis: </w:t>
      </w:r>
      <w:r>
        <w:t>Feld geprägt von Indikatorüberfluss ('überladene Teller'), gemischte Bewertung von Qualitäts-messungen; global-upward Accountability überwiegt lokal-decision-making; 'Indicator-Menü'-Ansätze (kuratiert, aber selektierbar) als Lösungsweg vorgeschlagen, erfordern aber Kapazitätsaufbau lokal.</w:t>
      </w:r>
    </w:p>
    <w:p>
      <w:r>
        <w:rPr>
          <w:b/>
          <w:sz w:val="19"/>
        </w:rPr>
        <w:t xml:space="preserve">Übertragbarkeit: </w:t>
      </w:r>
      <w:r>
        <w:rPr>
          <w:sz w:val="19"/>
        </w:rPr>
        <w:t>Qualitativ, global – konzeptionell, nicht direkt Versorgung in Deutschland.</w:t>
      </w:r>
    </w:p>
    <w:p>
      <w:r>
        <w:rPr>
          <w:color w:val="5A7D3A"/>
          <w:sz w:val="18"/>
        </w:rPr>
        <w:t>https://pubmed.ncbi.nlm.nih.gov/42501578/</w:t>
      </w:r>
    </w:p>
    <w:p>
      <w:pPr>
        <w:pStyle w:val="Heading2"/>
      </w:pPr>
      <w:r>
        <w:t>Zugang zu Suchtbehandlung: LGBQ+-Frauen berichten Diskriminierung und Fragmentierung</w:t>
      </w:r>
    </w:p>
    <w:p>
      <w:r>
        <w:rPr>
          <w:i/>
          <w:color w:val="666666"/>
          <w:sz w:val="18"/>
        </w:rPr>
        <w:t>Hillyard M et al.  ·  Front Public Health  ·  14.05.2026  ·  PMID 42221606</w:t>
      </w:r>
    </w:p>
    <w:p>
      <w:r>
        <w:t>Qualitative Studie mit 21 semi-strukturierten Interviews mit sexuellen Minderheits-Frauen in England zu Barrieren und Förderfaktoren beim Zugang zu Suchtbehandlung.</w:t>
      </w:r>
    </w:p>
    <w:p>
      <w:r>
        <w:rPr>
          <w:b/>
        </w:rPr>
        <w:t xml:space="preserve">Ergebnis: </w:t>
      </w:r>
      <w:r>
        <w:t>Wenige hatten Behandlung erhalten; Erfahrungen von inadäquater, fragmentarischer oder unterbrochener Versorgung; explizite Homophobie, Diskriminierungs-angst, und Stigmatisierung als Zugangsbarrieren; Förderfaktoren: Akzeptanz von Sexualität, LGBTQ+-Peers, strukturelle Reformen nötig.</w:t>
      </w:r>
    </w:p>
    <w:p>
      <w:r>
        <w:rPr>
          <w:b/>
          <w:sz w:val="19"/>
        </w:rPr>
        <w:t xml:space="preserve">Übertragbarkeit: </w:t>
      </w:r>
      <w:r>
        <w:rPr>
          <w:sz w:val="19"/>
        </w:rPr>
        <w:t>Großbritannien, qualitativ, Versorgungsstruktur-barrieren – direkt relevant für deutsche Suchtbehandlung.</w:t>
      </w:r>
    </w:p>
    <w:p>
      <w:r>
        <w:rPr>
          <w:color w:val="5A7D3A"/>
          <w:sz w:val="18"/>
        </w:rPr>
        <w:t>https://pubmed.ncbi.nlm.nih.gov/42221606/</w:t>
      </w:r>
    </w:p>
    <w:p>
      <w:pPr>
        <w:pStyle w:val="Heading1"/>
      </w:pPr>
      <w:r>
        <w:t>Aufgenommen am 10.09.2026</w:t>
      </w:r>
    </w:p>
    <w:p>
      <w:pPr>
        <w:pStyle w:val="Heading2"/>
      </w:pPr>
      <w:r>
        <w:t>Psychische Belastung älterer Inder: Geschlecht, chronische Krankheit und ihre Wechselwirkung</w:t>
      </w:r>
    </w:p>
    <w:p>
      <w:r>
        <w:rPr>
          <w:i/>
          <w:color w:val="666666"/>
          <w:sz w:val="18"/>
        </w:rPr>
        <w:t>Bharti A et al.  ·  J Cross Cult Gerontol  ·  09.09.2026  ·  PMID 42714712</w:t>
      </w:r>
    </w:p>
    <w:p>
      <w:r>
        <w:t>2×2-faktorielles Design mit 136 von 200 Älteren (68%) aus Bihar, Indien, gescreent auf psychische Belastung (GHQ-12) nach Geschlecht und Gesundheitsstatus (gesund vs. chronisch krank).</w:t>
      </w:r>
    </w:p>
    <w:p>
      <w:r>
        <w:rPr>
          <w:b/>
        </w:rPr>
        <w:t xml:space="preserve">Ergebnis: </w:t>
      </w:r>
      <w:r>
        <w:t>Psychische Belastung bei 68% der Stichprobe. Signifikante Effekte für Geschlecht [F(1,132)=14,90], Gesundheitsstatus [F(1,132)=55,73] und Interaktion [F(1,132)=14,45]. Frauen mit chronischen Erkrankungen besonders belastet; Ergebnis unterstreicht Bedarf für geriatrische Psychiatrie in Indien.</w:t>
      </w:r>
    </w:p>
    <w:p>
      <w:r>
        <w:rPr>
          <w:b/>
          <w:sz w:val="19"/>
        </w:rPr>
        <w:t xml:space="preserve">Übertragbarkeit: </w:t>
      </w:r>
      <w:r>
        <w:rPr>
          <w:sz w:val="19"/>
        </w:rPr>
        <w:t>Indien, limitierte Übertragbarkeit auf deutsches System</w:t>
      </w:r>
    </w:p>
    <w:p>
      <w:r>
        <w:rPr>
          <w:color w:val="5A7D3A"/>
          <w:sz w:val="18"/>
        </w:rPr>
        <w:t>https://pubmed.ncbi.nlm.nih.gov/42714712/</w:t>
      </w:r>
    </w:p>
    <w:p>
      <w:pPr>
        <w:pStyle w:val="Heading2"/>
      </w:pPr>
      <w:r>
        <w:t>Geschlechtsspezifische Unterschiede in oralen Erkrankungen</w:t>
      </w:r>
    </w:p>
    <w:p>
      <w:r>
        <w:rPr>
          <w:i/>
          <w:color w:val="666666"/>
          <w:sz w:val="18"/>
        </w:rPr>
        <w:t>Fetchko E et al.  ·  Clin Exp Dent Res  ·  Okt. 2026  ·  PMID 42709938</w:t>
      </w:r>
    </w:p>
    <w:p>
      <w:r>
        <w:t>Retrospektive EHR-Analyse von 254.700 Personen (NIH All of Us) und 4,7 Mio. Zahnpatienten (BigMouth) auf Geschlechtsunterschiede in Mund-, Zahn- und kraniofazialen Erkrankungen.</w:t>
      </w:r>
    </w:p>
    <w:p>
      <w:r>
        <w:rPr>
          <w:b/>
        </w:rPr>
        <w:t xml:space="preserve">Ergebnis: </w:t>
      </w:r>
      <w:r>
        <w:t>61 von 87 untersuchten Konzepten (70%) zeigten signifikante Geschlechtsunterschiede: 33 (54%) Frauenbias, 28 (46%) Männerbias. BigMouth: 90 von 230 (39%) mit Bias, davon 97% Frauenbias. Unterschiede über alle Altersgruppen.</w:t>
      </w:r>
    </w:p>
    <w:p>
      <w:r>
        <w:rPr>
          <w:b/>
          <w:sz w:val="19"/>
        </w:rPr>
        <w:t xml:space="preserve">Übertragbarkeit: </w:t>
      </w:r>
      <w:r>
        <w:rPr>
          <w:sz w:val="19"/>
        </w:rPr>
        <w:t>USA-Daten, aber reines Deskriptionswerk ohne Ursachen-Erklärung</w:t>
      </w:r>
    </w:p>
    <w:p>
      <w:r>
        <w:rPr>
          <w:color w:val="5A7D3A"/>
          <w:sz w:val="18"/>
        </w:rPr>
        <w:t>https://pubmed.ncbi.nlm.nih.gov/42709938/</w:t>
      </w:r>
    </w:p>
    <w:p>
      <w:pPr>
        <w:pStyle w:val="Heading2"/>
      </w:pPr>
      <w:r>
        <w:t>Bildschirmzeit reduziert kardiorespiratorische Fitness bei Jungen</w:t>
      </w:r>
    </w:p>
    <w:p>
      <w:r>
        <w:rPr>
          <w:i/>
          <w:color w:val="666666"/>
          <w:sz w:val="18"/>
        </w:rPr>
        <w:t>Badrić M et al.  ·  Front Public Health  ·  21.08.2026  ·  PMID 42698608</w:t>
      </w:r>
    </w:p>
    <w:p>
      <w:r>
        <w:t>Querschnittsstudie von 306 kroatischen Schulkindern (163 Mädchen, 143 Jungen, 9,89 Jahre) zur Assoziation zwischen Bildschirmzeit und VO2max (geschätzt aus 20-m-Shuttlerun) unter Kontrolle für Gesamtaktivität.</w:t>
      </w:r>
    </w:p>
    <w:p>
      <w:r>
        <w:rPr>
          <w:b/>
        </w:rPr>
        <w:t xml:space="preserve">Ergebnis: </w:t>
      </w:r>
      <w:r>
        <w:t>Signifikanter Haupteffekt Bildschirmzeit auf VO2max [F(2,299)=6,40; p&lt;0,001; η²=0,04]. Signifikante Interaktion Geschlecht×Bildschirmzeit [F(2,299)=4,47; p=0,01; η²=0,03]: Hohe Bildschirmzeit korrelierte mit niedrigerem VO2max nur bei Jungen, nicht bei Mädchen. Effekt unabhängig von selbstberichteter Gesamtaktivität.</w:t>
      </w:r>
    </w:p>
    <w:p>
      <w:r>
        <w:rPr>
          <w:b/>
          <w:sz w:val="19"/>
        </w:rPr>
        <w:t xml:space="preserve">Übertragbarkeit: </w:t>
      </w:r>
      <w:r>
        <w:rPr>
          <w:sz w:val="19"/>
        </w:rPr>
        <w:t>Kroatien (Europa), Routinemessungen (Shuttle-Run), biologische Unterschiede oder geschlechterspezifische Verhaltensweisen</w:t>
      </w:r>
    </w:p>
    <w:p>
      <w:r>
        <w:rPr>
          <w:color w:val="5A7D3A"/>
          <w:sz w:val="18"/>
        </w:rPr>
        <w:t>https://pubmed.ncbi.nlm.nih.gov/42698608/</w:t>
      </w:r>
    </w:p>
    <w:p>
      <w:pPr>
        <w:pStyle w:val="Heading2"/>
      </w:pPr>
      <w:r>
        <w:t>Geschlechtsdynamiken und Leidensdruck bei Stimmenhören</w:t>
      </w:r>
    </w:p>
    <w:p>
      <w:r>
        <w:rPr>
          <w:i/>
          <w:color w:val="666666"/>
          <w:sz w:val="18"/>
        </w:rPr>
        <w:t>Klikovac LC et al.  ·  Clin Psychol Psychother  ·  Sept. 2026  ·  PMID 42675639</w:t>
      </w:r>
    </w:p>
    <w:p>
      <w:r>
        <w:t>Klinik-Routine-Daten von 347 Erwachsenen mit belastenden Stimmen (UK, 2016–2024) zur Frage, ob Geschlecht der hörenden Person und wahrgenommenes Stimmengeschlecht den Leidensdruck beeinflussen.</w:t>
      </w:r>
    </w:p>
    <w:p>
      <w:r>
        <w:rPr>
          <w:b/>
        </w:rPr>
        <w:t xml:space="preserve">Ergebnis: </w:t>
      </w:r>
      <w:r>
        <w:t>Männerstimmen häufiger; Männer hörten überwiegend Männerstimmen. Frauen, die Männerstimmen hörten, berichteten signifikant höhere Leidenswerte als andere Gruppen. Effekt durch gendered interpersonal dynamics erklärt.</w:t>
      </w:r>
    </w:p>
    <w:p>
      <w:r>
        <w:rPr>
          <w:b/>
          <w:sz w:val="19"/>
        </w:rPr>
        <w:t xml:space="preserve">Übertragbarkeit: </w:t>
      </w:r>
      <w:r>
        <w:rPr>
          <w:sz w:val="19"/>
        </w:rPr>
        <w:t>UK-Klinikdaten, qualitative Behandlungsergebnisse, Ansatz ist übertragbar</w:t>
      </w:r>
    </w:p>
    <w:p>
      <w:r>
        <w:rPr>
          <w:color w:val="5A7D3A"/>
          <w:sz w:val="18"/>
        </w:rPr>
        <w:t>https://pubmed.ncbi.nlm.nih.gov/42675639/</w:t>
      </w:r>
    </w:p>
    <w:p>
      <w:pPr>
        <w:pStyle w:val="Heading2"/>
      </w:pPr>
      <w:r>
        <w:t>Geschlechtsunterschiede in perinatalen Risikofaktoren für Neurodermitis</w:t>
      </w:r>
    </w:p>
    <w:p>
      <w:r>
        <w:rPr>
          <w:i/>
          <w:color w:val="666666"/>
          <w:sz w:val="18"/>
        </w:rPr>
        <w:t>Moilanen R et al.  ·  Acta Paediatr  ·  25.06.2026  ·  PMID 42347018</w:t>
      </w:r>
    </w:p>
    <w:p>
      <w:r>
        <w:t>Retrospektive Kohortenstudie der finnischen Geburtskohorte 1986 mit 8.993 Personen zu Assoziationen zwischen Geburtsgewicht, Entbindungsmodus, Gestationsalter und Atopischer Dermatitis, stratifiziert nach Geschlecht.</w:t>
      </w:r>
    </w:p>
    <w:p>
      <w:r>
        <w:rPr>
          <w:b/>
        </w:rPr>
        <w:t xml:space="preserve">Ergebnis: </w:t>
      </w:r>
      <w:r>
        <w:t>AD-Prävalenz 23,7 %. Niedriges Geburtsgewicht war nur bei Männern ein Schutzfaktor (adjustiertes RR 0,54; 95%-KI 0,30–0,97), nicht bei Frauen. Entbindungsmodus und Gestationsalter zeigten keinen Zusammenhang mit AD-Risiko.</w:t>
      </w:r>
    </w:p>
    <w:p>
      <w:r>
        <w:rPr>
          <w:b/>
          <w:sz w:val="19"/>
        </w:rPr>
        <w:t xml:space="preserve">Übertragbarkeit: </w:t>
      </w:r>
      <w:r>
        <w:rPr>
          <w:sz w:val="19"/>
        </w:rPr>
        <w:t>Finnland, Routinedaten mit klinischer Diagnose, vergleichbare Dokumentation</w:t>
      </w:r>
    </w:p>
    <w:p>
      <w:r>
        <w:rPr>
          <w:color w:val="5A7D3A"/>
          <w:sz w:val="18"/>
        </w:rPr>
        <w:t>https://pubmed.ncbi.nlm.nih.gov/42347018/</w:t>
      </w:r>
    </w:p>
    <w:p>
      <w:pPr>
        <w:pStyle w:val="Heading2"/>
      </w:pPr>
      <w:r>
        <w:t>Geschlechterdiskriminierung und Mentoring reduzieren Forschungsmotivation von Ärztinnen</w:t>
      </w:r>
    </w:p>
    <w:p>
      <w:r>
        <w:rPr>
          <w:i/>
          <w:color w:val="666666"/>
          <w:sz w:val="18"/>
        </w:rPr>
        <w:t>Deledalle A et al.  ·  BMJ Open  ·  29.05.2026  ·  PMID 42215261</w:t>
      </w:r>
    </w:p>
    <w:p>
      <w:r>
        <w:t>Online-Befragung von 1.570 französischen Fachärztinnen und -ärzten in Weiterbildung (997 Frauen, 573 Männer; Nov. 2022–Feb. 2023) zu Unterschieden in Forschungsmotivation, Mentoring und erlebter Diskriminierung.</w:t>
      </w:r>
    </w:p>
    <w:p>
      <w:r>
        <w:rPr>
          <w:b/>
        </w:rPr>
        <w:t xml:space="preserve">Ergebnis: </w:t>
      </w:r>
      <w:r>
        <w:t>Frauen: geringere Forschungsmotivation (21,0 vs. 22,8 Punkte; p=0,011), weniger Mentoring (38,5% vs. 44,5%; p=0,02), deutlich mehr Geschlechtsdiskriminierung (22,8% vs. 3,8%; p=0,005) und sexuelle Belästigung (57,7% vs. 18,2%; p=0,005), höherer Stress (8,48 vs. 7,27; p=0,011).</w:t>
      </w:r>
    </w:p>
    <w:p>
      <w:r>
        <w:rPr>
          <w:b/>
          <w:sz w:val="19"/>
        </w:rPr>
        <w:t xml:space="preserve">Übertragbarkeit: </w:t>
      </w:r>
      <w:r>
        <w:rPr>
          <w:sz w:val="19"/>
        </w:rPr>
        <w:t>Frankreich (DACH-vergleichbar), nationale Befragung, strukturelle Barrieren messbar</w:t>
      </w:r>
    </w:p>
    <w:p>
      <w:r>
        <w:rPr>
          <w:color w:val="5A7D3A"/>
          <w:sz w:val="18"/>
        </w:rPr>
        <w:t>https://pubmed.ncbi.nlm.nih.gov/42215261/</w:t>
      </w:r>
    </w:p>
    <w:p>
      <w:pPr>
        <w:pStyle w:val="Heading2"/>
      </w:pPr>
      <w:r>
        <w:t>Geschlechterlücke in Sturzrisikobewertung im Krankenhaus</w:t>
      </w:r>
    </w:p>
    <w:p>
      <w:r>
        <w:rPr>
          <w:i/>
          <w:color w:val="666666"/>
          <w:sz w:val="18"/>
        </w:rPr>
        <w:t>Gubser RJ et al.  ·  Stud Health Technol Inform  ·  21.05.2026  ·  PMID 42174812</w:t>
      </w:r>
    </w:p>
    <w:p>
      <w:r>
        <w:t>EHR-Analyse von 898.208 Patienten (2016–2022) einer Universitätsklinik zu Unterschieden zwischen Männern und Frauen in Sturzinzidenz, Sturzrisikoerfassung und Schweregrad von Sturzverletzungen.</w:t>
      </w:r>
    </w:p>
    <w:p>
      <w:r>
        <w:rPr>
          <w:b/>
        </w:rPr>
        <w:t xml:space="preserve">Ergebnis: </w:t>
      </w:r>
      <w:r>
        <w:t>Männer: höhere Sturzinzidenz trotz zuverlässigerer Erfassung durch Risiko-Screening-Tool. Frauen: schwerwiegendere Sturverletzungen. Geschlechtsspezifische Unterschiede in Outcome und Assessment-Genauigkeit.</w:t>
      </w:r>
    </w:p>
    <w:p>
      <w:r>
        <w:rPr>
          <w:b/>
          <w:sz w:val="19"/>
        </w:rPr>
        <w:t xml:space="preserve">Übertragbarkeit: </w:t>
      </w:r>
      <w:r>
        <w:rPr>
          <w:sz w:val="19"/>
        </w:rPr>
        <w:t>Deutschland (Charité, Berlin), Universitätsklinikdaten, dokumentationspflichtige Einträge</w:t>
      </w:r>
    </w:p>
    <w:p>
      <w:r>
        <w:rPr>
          <w:color w:val="5A7D3A"/>
          <w:sz w:val="18"/>
        </w:rPr>
        <w:t>https://pubmed.ncbi.nlm.nih.gov/42174812/</w:t>
      </w:r>
    </w:p>
    <w:p>
      <w:pPr>
        <w:pStyle w:val="Heading1"/>
      </w:pPr>
      <w:r>
        <w:t>Aufgenommen am 09.09.2026</w:t>
      </w:r>
    </w:p>
    <w:p>
      <w:pPr>
        <w:pStyle w:val="Heading2"/>
      </w:pPr>
      <w:r>
        <w:t>Herz-Nieren-Transplantation: Frauen sterben in den ersten 90 Tagen häufiger</w:t>
      </w:r>
    </w:p>
    <w:p>
      <w:r>
        <w:rPr>
          <w:i/>
          <w:color w:val="666666"/>
          <w:sz w:val="18"/>
        </w:rPr>
        <w:t>Ramu B et al.  ·  J Card Fail  ·  Sept. 2026  ·  PMID 42710970</w:t>
      </w:r>
    </w:p>
    <w:p>
      <w:r>
        <w:t>25-Jahr-Analyse von 3.068 simultanen Herz-Nieren-Transplantationen (19,7% Frauen) aus dem US-UNOS-Register mit stratifizierten Cox-Regressionen.</w:t>
      </w:r>
    </w:p>
    <w:p>
      <w:r>
        <w:rPr>
          <w:b/>
        </w:rPr>
        <w:t xml:space="preserve">Ergebnis: </w:t>
      </w:r>
      <w:r>
        <w:t>Frauen perioperativ erhöhtes Sterblichkeitsrisiko (aHR 1,58 in den Tagen 0–90, 95%-CI 1,12–2,22, p=0,009), kein signifikanter Unterschied nach Tag 90 (aHR 0,91, p=0,729) oder nach 5 Jahren. Zeitfenster-Analyse im modernen Allokations-Ära zeigte aHR 1,78 (95%-CI 1,19–2,65, p=0,005). Frauen hatten mehr nicht-ischämische Kardiomyopathie und höheren pulmonalen Vaskulären Widerstand baseline. Ursache: perioperative Komplikationen und Zeitmangel zur Vorbereitung, nicht längerfristige biologische oder immunologische Unterschiede.</w:t>
      </w:r>
    </w:p>
    <w:p>
      <w:r>
        <w:rPr>
          <w:b/>
          <w:sz w:val="19"/>
        </w:rPr>
        <w:t xml:space="preserve">Übertragbarkeit: </w:t>
      </w:r>
      <w:r>
        <w:rPr>
          <w:sz w:val="19"/>
        </w:rPr>
        <w:t>USA, aber Sicherheitsbefund zu perioperativem Risiko transkulturell übertragbar; Deutschland fehlen Transplantations-Register dieser Auflösung.</w:t>
      </w:r>
    </w:p>
    <w:p>
      <w:r>
        <w:rPr>
          <w:color w:val="5A7D3A"/>
          <w:sz w:val="18"/>
        </w:rPr>
        <w:t>https://pubmed.ncbi.nlm.nih.gov/42710970/</w:t>
      </w:r>
    </w:p>
    <w:p>
      <w:pPr>
        <w:pStyle w:val="Heading2"/>
      </w:pPr>
      <w:r>
        <w:t>Frauen mit Bronchiektasen berichten höhere körperliche Aktivität, können aber kürzere Strecken gehen</w:t>
      </w:r>
    </w:p>
    <w:p>
      <w:r>
        <w:rPr>
          <w:i/>
          <w:color w:val="666666"/>
          <w:sz w:val="18"/>
        </w:rPr>
        <w:t>Bhat A et al.  ·  PLoS One  ·  02.09.2026  ·  PMID 42685034</w:t>
      </w:r>
    </w:p>
    <w:p>
      <w:r>
        <w:t>Querschnittstudie an 55 stabilen Bronchiektasen-Patienten in Südindien mit Messung von selbstberichteter körperlicher Aktivität (IPAQ), Dyspnoe (mMRC), 6-Minuten-Gehstrecke (6MWD) und Lebensqualität.</w:t>
      </w:r>
    </w:p>
    <w:p>
      <w:r>
        <w:rPr>
          <w:b/>
        </w:rPr>
        <w:t xml:space="preserve">Ergebnis: </w:t>
      </w:r>
      <w:r>
        <w:t>Frauen kürzere absolute 6MWD (≈57 m weniger), aber kein Unterschied in Prozent-des-Vorhergesagten verglichen mit Männern. Frauen berichteten höhere selbstberichtete körperliche Aktivität (+1.350 MET-min/Woche). Reduzierte 6MWD korreliert mit höherem Alter, weiblichem Geschlecht, erhöhter Exazerbationsfrequenz, höherer Dyspnoe-Schwere und höherer radiologischer Schwere. Dyspnoe-Schwere und radiologische Schwere unabhängig vorhersagend für funktionelle Leistungsfähigkeit. Ursache: Diskrepanz zwischen selbstberichteter und objektiver Aktivität deutet auf Geschlechtsunterschiede in Wahrnehmung oder Messung hin, nicht auf biologische Responsivitätsunterschiede.</w:t>
      </w:r>
    </w:p>
    <w:p>
      <w:r>
        <w:rPr>
          <w:b/>
          <w:sz w:val="19"/>
        </w:rPr>
        <w:t xml:space="preserve">Übertragbarkeit: </w:t>
      </w:r>
      <w:r>
        <w:rPr>
          <w:sz w:val="19"/>
        </w:rPr>
        <w:t>Süd-Asien (Manipal, Indien); begrenzte Übertragbarkeit auf deutsches System, zeigt aber universelles Messbias-Problem bei Aktivitätsbewertung.</w:t>
      </w:r>
    </w:p>
    <w:p>
      <w:r>
        <w:rPr>
          <w:color w:val="5A7D3A"/>
          <w:sz w:val="18"/>
        </w:rPr>
        <w:t>https://pubmed.ncbi.nlm.nih.gov/42685034/</w:t>
      </w:r>
    </w:p>
    <w:p>
      <w:pPr>
        <w:pStyle w:val="Heading2"/>
      </w:pPr>
      <w:r>
        <w:t>Co-auftretende Stigmatisierung von HIV, Geschlechtlichkeit und Drogengebrauch beeinflusst mentale Gesundheit Jugendlicher in Kasachstan</w:t>
      </w:r>
    </w:p>
    <w:p>
      <w:r>
        <w:rPr>
          <w:i/>
          <w:color w:val="666666"/>
          <w:sz w:val="18"/>
        </w:rPr>
        <w:t>Gardner SD et al.  ·  Sex Health  ·  17.08.2026  ·  PMID 42289791</w:t>
      </w:r>
    </w:p>
    <w:p>
      <w:r>
        <w:t>Querschnittstudie an 216 HIV-negativen Jugendlichen und jungen Erwachsenen (116 Frauen, 110 Männer) in Almaty, Kasachstan mittels latenter Klassenanalyse der wahrgenommenen Stigmatisierung und psychischer Gesundheit.</w:t>
      </w:r>
    </w:p>
    <w:p>
      <w:r>
        <w:rPr>
          <w:b/>
        </w:rPr>
        <w:t xml:space="preserve">Ergebnis: </w:t>
      </w:r>
      <w:r>
        <w:t>Vier Stigmatisierungs-Klassen identifiziert: (1) niedrig alle Typen (26%); (2) niedrig HIV-Stigma, moderat Drogen- und Geschlechtsminoritäts-Stigma (44%); (3) moderat HIV- und Geschlechtsminoritäts-Stigma (9%); (4) hoch alle Typen (21%). Klasse 4 hatte höhere Odds für Geschlechtsminoritäts-Identifizierung (OR 2,70; 95%-CI 1,09–6,69), höhere Depression (M 13,88 vs. 9,00, p&lt;0,05) und Angst (M 9,00 vs. 5,2, p&lt;0,05) als Klasse 1. Klasse 2 2,47× höhere Odds für Tabakgebrauch und 2,06× für Alkoholkonsum. Ursache: Intersektionalität von Stigmatisierungsformen und Geschlechtsidentität, strukturell und psychologisch.</w:t>
      </w:r>
    </w:p>
    <w:p>
      <w:r>
        <w:rPr>
          <w:b/>
          <w:sz w:val="19"/>
        </w:rPr>
        <w:t xml:space="preserve">Übertragbarkeit: </w:t>
      </w:r>
      <w:r>
        <w:rPr>
          <w:sz w:val="19"/>
        </w:rPr>
        <w:t>Kasachstan (Mittelasien); begrenzte Übertragbarkeit auf Deutschland, da kulturelle Stigmatisierungsmuster unterschiedlich sind.</w:t>
      </w:r>
    </w:p>
    <w:p>
      <w:r>
        <w:rPr>
          <w:color w:val="5A7D3A"/>
          <w:sz w:val="18"/>
        </w:rPr>
        <w:t>https://pubmed.ncbi.nlm.nih.gov/42289791/</w:t>
      </w:r>
    </w:p>
    <w:p>
      <w:pPr>
        <w:pStyle w:val="Heading2"/>
      </w:pPr>
      <w:r>
        <w:t>Tiefenhirnstimulation bei Parkinson: Frauen älter, unter-behandelt, aber gleiche Erfolgsquoten</w:t>
      </w:r>
    </w:p>
    <w:p>
      <w:r>
        <w:rPr>
          <w:i/>
          <w:color w:val="666666"/>
          <w:sz w:val="18"/>
        </w:rPr>
        <w:t>Santos García D et al.  ·  Med Sci (Basel)  ·  27.04.2026  ·  PMID 42201009</w:t>
      </w:r>
    </w:p>
    <w:p>
      <w:r>
        <w:t>Prospektive Real-World-Registry-Studie zu 618 Parkinson-Patienten (57,6% Männer) mit gerätegestützter Therapie (DBS, Apomorphin-Pumpe, Levodopa-Infusion) an 40 spanischen Zentren.</w:t>
      </w:r>
    </w:p>
    <w:p>
      <w:r>
        <w:rPr>
          <w:b/>
        </w:rPr>
        <w:t xml:space="preserve">Ergebnis: </w:t>
      </w:r>
      <w:r>
        <w:t>Signifikante Geschlechtsdifferenz in DBS-Nutzung (73,1% Männer, p=0,006); Frauen älter bei Indikation (älter, höhere Levodopa-Äquivalenzdosis, schlechtere Lebensqualität und Aktivitäten des täglichen Lebens baseline). Nach 6 Monaten: OFF-Zeit sank, motorische und nicht-motorische Symptome sowie Lebensqualität verbesserten sich in beiden Gruppen; AADL-Verbesserung nur bei Männern im OFF-Zustand. Ursache: Therapiezugang (Selektion zu DBS bei Frauen geringer), nicht biologisch unterschiedliche Responsivität.</w:t>
      </w:r>
    </w:p>
    <w:p>
      <w:r>
        <w:rPr>
          <w:b/>
          <w:sz w:val="19"/>
        </w:rPr>
        <w:t xml:space="preserve">Übertragbarkeit: </w:t>
      </w:r>
      <w:r>
        <w:rPr>
          <w:sz w:val="19"/>
        </w:rPr>
        <w:t>Spanisches Register mit Dokumentationsstandards ähnlich Deutschland; zeigt Zuteilungsunterschiede bei etablierter Technologie.</w:t>
      </w:r>
    </w:p>
    <w:p>
      <w:r>
        <w:rPr>
          <w:color w:val="5A7D3A"/>
          <w:sz w:val="18"/>
        </w:rPr>
        <w:t>https://pubmed.ncbi.nlm.nih.gov/42201009/</w:t>
      </w:r>
    </w:p>
    <w:p>
      <w:pPr>
        <w:pStyle w:val="Heading2"/>
      </w:pPr>
      <w:r>
        <w:t>PrEP-Abbruchquoten unter Sexarbeiterinnen deutlich höher als bei Männern</w:t>
      </w:r>
    </w:p>
    <w:p>
      <w:r>
        <w:rPr>
          <w:i/>
          <w:color w:val="666666"/>
          <w:sz w:val="18"/>
        </w:rPr>
        <w:t>Valencia J et al.  ·  Int J Infect Dis  ·  25.05.2026  ·  PMID 42190938</w:t>
      </w:r>
    </w:p>
    <w:p>
      <w:r>
        <w:t>Prospektive Kohortenstudie zur PrEP-Adhärenz bei 189 Sexarbeitern in Madrid, stratifiziert nach Geschlecht und Geschlechtsidentität.</w:t>
      </w:r>
    </w:p>
    <w:p>
      <w:r>
        <w:rPr>
          <w:b/>
        </w:rPr>
        <w:t xml:space="preserve">Ergebnis: </w:t>
      </w:r>
      <w:r>
        <w:t>Cisgender-Frauen zeigten höchste Abbruchquote (20,8 pro 100 Personenmonate, medianes Halten 3,8 Monate), Cisgender-Männer (aHR 0,37; 95%-CI 0,21–0,62) und Trans-Frauen (aHR 0,30; 0,18–0,50) signifikant niedrigeres Abbruchrisiko. Wohnungsinstabilität unabhängig mit erhöhtem Abbruchrisiko assoziiert (aHR 1,91; 95%-CI 1,17–3,12). Ursache: strukturelle Barrieren für Cisgender-Frauen, nicht Biologie.</w:t>
      </w:r>
    </w:p>
    <w:p>
      <w:r>
        <w:rPr>
          <w:b/>
          <w:sz w:val="19"/>
        </w:rPr>
        <w:t xml:space="preserve">Übertragbarkeit: </w:t>
      </w:r>
      <w:r>
        <w:rPr>
          <w:sz w:val="19"/>
        </w:rPr>
        <w:t>Spanisches Gesundheitssystem mit Dokumentationspflichten vergleichbar mit Deutschland; Zugangsbarrieren für vulnerable Gruppen universell.</w:t>
      </w:r>
    </w:p>
    <w:p>
      <w:r>
        <w:rPr>
          <w:color w:val="5A7D3A"/>
          <w:sz w:val="18"/>
        </w:rPr>
        <w:t>https://pubmed.ncbi.nlm.nih.gov/42190938/</w:t>
      </w:r>
    </w:p>
    <w:p>
      <w:pPr>
        <w:pStyle w:val="Heading2"/>
      </w:pPr>
      <w:r>
        <w:t>Zentren für Frauenherzkrankheiten reduzieren Versorgungsungleichheiten bei Herzinfarkt</w:t>
      </w:r>
    </w:p>
    <w:p>
      <w:r>
        <w:rPr>
          <w:i/>
          <w:color w:val="666666"/>
          <w:sz w:val="18"/>
        </w:rPr>
        <w:t>Grapsa J et al.  ·  Eur Heart J  ·  03.08.2026  ·  PMID 42189053</w:t>
      </w:r>
    </w:p>
    <w:p>
      <w:r>
        <w:t>European consensus statement zur Etablierung von Frauenherzzentern als Struktur zur Reduktion diagnostischer und therapeutischer Disparitäten in der Kardiologie.</w:t>
      </w:r>
    </w:p>
    <w:p>
      <w:r>
        <w:rPr>
          <w:b/>
        </w:rPr>
        <w:t xml:space="preserve">Ergebnis: </w:t>
      </w:r>
      <w:r>
        <w:t>Frauen haben höhere kardiovaskuläre Mortalität und erhalten weniger diagnostische Tests und Interventionen als Männer; spezialisierte Frauenherzenzentren zeigen verbesserte diagnostische Genauigkeit, bessere Risikofaktorkontrolle und höhere Patientenzufriedenheit, ohne dass langfristige Outcome-Daten zur Mortalitätsreduktion vorliegen. Strukturelle Massnahme zur Reduktion eines bekannten Unterschieds.</w:t>
      </w:r>
    </w:p>
    <w:p>
      <w:r>
        <w:rPr>
          <w:b/>
          <w:sz w:val="19"/>
        </w:rPr>
        <w:t xml:space="preserve">Übertragbarkeit: </w:t>
      </w:r>
      <w:r>
        <w:rPr>
          <w:sz w:val="19"/>
        </w:rPr>
        <w:t>Europäisches Konsensus-Statement; Übertragbarkeit auf deutsches System mit vergleichbarer Kardiologie-Struktur gegeben.</w:t>
      </w:r>
    </w:p>
    <w:p>
      <w:r>
        <w:rPr>
          <w:color w:val="5A7D3A"/>
          <w:sz w:val="18"/>
        </w:rPr>
        <w:t>https://pubmed.ncbi.nlm.nih.gov/42189053/</w:t>
      </w:r>
    </w:p>
    <w:p>
      <w:pPr>
        <w:pStyle w:val="Heading1"/>
      </w:pPr>
      <w:r>
        <w:t>Aufgenommen am 08.09.2026</w:t>
      </w:r>
    </w:p>
    <w:p>
      <w:pPr>
        <w:pStyle w:val="Heading2"/>
      </w:pPr>
      <w:r>
        <w:t>CT-FFR-gesteuerte Diagnostik bei stabiler KHK – unterschiedliche Effekte bei Frauen und Männern</w:t>
      </w:r>
    </w:p>
    <w:p>
      <w:r>
        <w:rPr>
          <w:i/>
          <w:color w:val="666666"/>
          <w:sz w:val="18"/>
        </w:rPr>
        <w:t>Ding Y et al.  ·  EuroIntervention  ·  07.09.2026  ·  PMID 42703765</w:t>
      </w:r>
    </w:p>
    <w:p>
      <w:r>
        <w:t>Subgruppen-Analyse der TARGET-Studie (1.216 Patienten) untersucht, ob CT-FFR-Führung bei stabiler KHK geschlechtsspezifische Unterschiede in invasiver Angiographie, Revaskularisierung und 2-Jahres-Outcome zeigt.</w:t>
      </w:r>
    </w:p>
    <w:p>
      <w:r>
        <w:rPr>
          <w:b/>
        </w:rPr>
        <w:t xml:space="preserve">Ergebnis: </w:t>
      </w:r>
      <w:r>
        <w:t>Frauen waren älter (62,3±8,1 vs. 58,2±10,7 Jahre, p&lt;0,001), vergleichbare anatomische KHK-Schwere. CT-FFR-Führung senkte ICA ohne obstruktive KHK und erhöhte frühe Revaskularisierung bei Männern, nicht bei Frauen. Nach 2 Jahren: CT-FFR-Führung assoziiert mit niedrigerer MACE-Rate bei Frauen (adj. HR 0,48, 95% KI 0,27–0,87, p=0,015) vs. Standardversorgung, aber kein Unterschied bei Männern (adj. HR 0,89, 95% KI 0,59–1,33, p=0,574). Autoren betonen: Keine signifikante Sex-×-Behandlungs-Interaktion; Befunde sind explorativ. Vermutlich Biologie (weniger obstruktive Plättchen bei Frauen) + Zugang (Katheterisierung wird bei Frauen zu viel vermieden).</w:t>
      </w:r>
    </w:p>
    <w:p>
      <w:r>
        <w:rPr>
          <w:b/>
          <w:sz w:val="19"/>
        </w:rPr>
        <w:t xml:space="preserve">Übertragbarkeit: </w:t>
      </w:r>
      <w:r>
        <w:rPr>
          <w:sz w:val="19"/>
        </w:rPr>
        <w:t>Interventionelle Kardiologie; Frauen mit mikrovaskularem Leiden, vergleichbar mit Deutschland</w:t>
      </w:r>
    </w:p>
    <w:p>
      <w:r>
        <w:rPr>
          <w:color w:val="5A7D3A"/>
          <w:sz w:val="18"/>
        </w:rPr>
        <w:t>https://pubmed.ncbi.nlm.nih.gov/42703765/</w:t>
      </w:r>
    </w:p>
    <w:p>
      <w:pPr>
        <w:pStyle w:val="Heading2"/>
      </w:pPr>
      <w:r>
        <w:t>Multiple-Sklerose-Last in Italien – regionale Gradienten und Geschlechtsmuster</w:t>
      </w:r>
    </w:p>
    <w:p>
      <w:r>
        <w:rPr>
          <w:i/>
          <w:color w:val="666666"/>
          <w:sz w:val="18"/>
        </w:rPr>
        <w:t>Brigo F et al.  ·  Mult Scler Relat Disord  ·  28.08.2026  ·  PMID 42664643</w:t>
      </w:r>
    </w:p>
    <w:p>
      <w:r>
        <w:t>Analyse der Global Burden of Disease-Daten 1990–2023 untersucht, wie sich die MS-Last in Italien regional und nach Geschlecht verschoben hat – von vorzeitiger Mortalität zu Langzeit-Behinderung.</w:t>
      </w:r>
    </w:p>
    <w:p>
      <w:r>
        <w:rPr>
          <w:b/>
        </w:rPr>
        <w:t xml:space="preserve">Ergebnis: </w:t>
      </w:r>
      <w:r>
        <w:t>DALY-Raten stiegen in allen Makroregionen; steilster Anstieg in Sardinien und Süditalien. YLDs wuchsen schneller als YLLs überall, was einen Verschiebung zu behinderungsgeprägter Last bestätigt. Geschlechtliche Unterschiede waren kleiner als geografische Unterschiede (kein genaues Geschlechtsverhältnis beziffert). Signifikante Heterogenität über Makroregionen hinweg.</w:t>
      </w:r>
    </w:p>
    <w:p>
      <w:r>
        <w:rPr>
          <w:b/>
          <w:sz w:val="19"/>
        </w:rPr>
        <w:t xml:space="preserve">Übertragbarkeit: </w:t>
      </w:r>
      <w:r>
        <w:rPr>
          <w:sz w:val="19"/>
        </w:rPr>
        <w:t>Italien, IHME-Schätzungen; Geschlechtsunterschiede klein, geografische Variation dominiert</w:t>
      </w:r>
    </w:p>
    <w:p>
      <w:r>
        <w:rPr>
          <w:color w:val="5A7D3A"/>
          <w:sz w:val="18"/>
        </w:rPr>
        <w:t>https://pubmed.ncbi.nlm.nih.gov/42664643/</w:t>
      </w:r>
    </w:p>
    <w:p>
      <w:pPr>
        <w:pStyle w:val="Heading2"/>
      </w:pPr>
      <w:r>
        <w:t>Hausärztliche Leistungsanpassung sinkt bei Frauen – Kinderverantwortung erklärt den Unterschied</w:t>
      </w:r>
    </w:p>
    <w:p>
      <w:r>
        <w:rPr>
          <w:i/>
          <w:color w:val="666666"/>
          <w:sz w:val="18"/>
        </w:rPr>
        <w:t>Paraponaris A et al.  ·  Health Policy  ·  07.08.2026  ·  PMID 42594604</w:t>
      </w:r>
    </w:p>
    <w:p>
      <w:r>
        <w:t>Französische Panels von 2.898 selbstständigen Hausärztinnen und Hausärzten zeigen, wie diese ihre Arbeitsleistung bei sinkendem lokalen Ärztinnen-/Ärztedichte anpassen – mit Fokus auf Unterschiede nach Geschlecht und Familiensituation.</w:t>
      </w:r>
    </w:p>
    <w:p>
      <w:r>
        <w:rPr>
          <w:b/>
        </w:rPr>
        <w:t xml:space="preserve">Ergebnis: </w:t>
      </w:r>
      <w:r>
        <w:t>Bei 10% Rückgang der Ärztedichte stiegen die privaten Praxiseinkommen um 1,7–1,8% (p&lt;0,01). Männliche Ärzte erhöhten ihre Einkommen um etwa 2,2% (p&lt;0,01), weibliche Ärzte insgesamt nicht signifikant. Ohne Kinder reagierten Frauen (+1,9%) und Männer (+2,4%) ähnlich (beide p&lt;0,01). Geschlechtsunterschiede in der Leistungsanpassung sind primär auf ungleiche Familienverantwortung während der Kindererziehung zurückzuführen, nicht auf Geschlecht selbst.</w:t>
      </w:r>
    </w:p>
    <w:p>
      <w:r>
        <w:rPr>
          <w:b/>
          <w:sz w:val="19"/>
        </w:rPr>
        <w:t xml:space="preserve">Übertragbarkeit: </w:t>
      </w:r>
      <w:r>
        <w:rPr>
          <w:sz w:val="19"/>
        </w:rPr>
        <w:t>Frankreich, Steuerdaten-Panel; Gatekeeping-System unterscheidet sich von Deutschland</w:t>
      </w:r>
    </w:p>
    <w:p>
      <w:r>
        <w:rPr>
          <w:color w:val="5A7D3A"/>
          <w:sz w:val="18"/>
        </w:rPr>
        <w:t>https://pubmed.ncbi.nlm.nih.gov/42594604/</w:t>
      </w:r>
    </w:p>
    <w:p>
      <w:pPr>
        <w:pStyle w:val="Heading2"/>
      </w:pPr>
      <w:r>
        <w:t>Obere Atemwegsinfekte – Stress und Geschlecht erklären Symptombürde unterschiedlich</w:t>
      </w:r>
    </w:p>
    <w:p>
      <w:r>
        <w:rPr>
          <w:i/>
          <w:color w:val="666666"/>
          <w:sz w:val="18"/>
        </w:rPr>
        <w:t>Rüthrich MM et al.  ·  BMC Public Health  ·  30.05.2026  ·  PMID 42218391</w:t>
      </w:r>
    </w:p>
    <w:p>
      <w:r>
        <w:t>Deutsche Studie an 273 Gesunden und 194 Stammzelltransplantations-Empfängern untersucht, ob Frauen höhere Stresslevels aufweisen, die ihre erhöhte Anfälligkeit und Symptombelastung bei Atemwegsinfekten erklären.</w:t>
      </w:r>
    </w:p>
    <w:p>
      <w:r>
        <w:rPr>
          <w:b/>
        </w:rPr>
        <w:t xml:space="preserve">Ergebnis: </w:t>
      </w:r>
      <w:r>
        <w:t>Kohort Gesund (50% Frauen, meist ≤30 Jahre): Frauen berichteten mehr moderate/schwere URTI-Symptome als Männer (57% vs. 36%, p&lt;0,001, φ=0,210) und höhere PSS-4-Werte [t(271)=2,84, p&lt;0,001, d=0,636]. Stress korrelierte bei Frauen schwach mit Symptomen (r=0,15, p=0,04). Kohort Immungeschwächt (40,5% Frauen, meist ≥30 Jahre): Männer berichteten mehr Symptome (83% vs. 68%, p=0,021); PSS-4 unterschied sich nicht nach Geschlecht. Stress–Symptom-Korrelation war stärker (r=0,293, p&lt;0,001), besonders bei Frauen (r=0,385, p&lt;0,001). Beziehung zwischen Geschlecht, Stress und Symptomen ist gesundheitsstatus-abhängig; Biologie + Psyche.</w:t>
      </w:r>
    </w:p>
    <w:p>
      <w:r>
        <w:rPr>
          <w:b/>
          <w:sz w:val="19"/>
        </w:rPr>
        <w:t xml:space="preserve">Übertragbarkeit: </w:t>
      </w:r>
      <w:r>
        <w:rPr>
          <w:sz w:val="19"/>
        </w:rPr>
        <w:t>Deutschland, Klinikstudien aus Jena/Charité; geschlechtsspezifische Stressphysiologie</w:t>
      </w:r>
    </w:p>
    <w:p>
      <w:r>
        <w:rPr>
          <w:color w:val="5A7D3A"/>
          <w:sz w:val="18"/>
        </w:rPr>
        <w:t>https://pubmed.ncbi.nlm.nih.gov/42218391/</w:t>
      </w:r>
    </w:p>
    <w:p>
      <w:pPr>
        <w:pStyle w:val="Heading2"/>
      </w:pPr>
      <w:r>
        <w:t>Diabetes-Prävalenz und Ungleichheit in Europa – Geschlecht und Sozialstatus</w:t>
      </w:r>
    </w:p>
    <w:p>
      <w:r>
        <w:rPr>
          <w:i/>
          <w:color w:val="666666"/>
          <w:sz w:val="18"/>
        </w:rPr>
        <w:t>Andrade CAS et al.  ·  Sci Rep  ·  29.05.2026  ·  PMID 42215567</w:t>
      </w:r>
    </w:p>
    <w:p>
      <w:r>
        <w:t>SHARE-Daten von 13 europäischen Ländern 2010–2019 analysieren geschlechtsgespaltete nationale und subnationale Unterschiede in selbstberichteter Diabetes-Prävalenz und deren sozioökonomische Treiber.</w:t>
      </w:r>
    </w:p>
    <w:p>
      <w:r>
        <w:rPr>
          <w:b/>
        </w:rPr>
        <w:t xml:space="preserve">Ergebnis: </w:t>
      </w:r>
      <w:r>
        <w:t>Diabetes-Prävalenz sank von 11% (2010/11) auf 10,6% (2019); von 5,9% in der Schweiz bis 16,7% in Tschechien. Subnationale Spannweite: 2,1% bis 28,5%. Gini-Koeffizient stieg von 21,9% auf 22,5%; Schweiz zeigte höchsten Wert [30,1% (95% KI 7,9–41,7)]. Bildungs- und Einkommens-Konzentrationsindizes waren konsistent niedrig und überwiegend negativ (Ungleichheit zugunsten niedriger Sozialgruppen). Urbanisierung zeigte gemischte Muster (p&gt;0,05).</w:t>
      </w:r>
    </w:p>
    <w:p>
      <w:r>
        <w:rPr>
          <w:b/>
          <w:sz w:val="19"/>
        </w:rPr>
        <w:t xml:space="preserve">Übertragbarkeit: </w:t>
      </w:r>
      <w:r>
        <w:rPr>
          <w:sz w:val="19"/>
        </w:rPr>
        <w:t>13 europäische Länder, SHARE-Kohorte; hohe Vergleichbarkeit mit Deutschland</w:t>
      </w:r>
    </w:p>
    <w:p>
      <w:r>
        <w:rPr>
          <w:color w:val="5A7D3A"/>
          <w:sz w:val="18"/>
        </w:rPr>
        <w:t>https://pubmed.ncbi.nlm.nih.gov/42215567/</w:t>
      </w:r>
    </w:p>
    <w:p>
      <w:pPr>
        <w:pStyle w:val="Heading2"/>
      </w:pPr>
      <w:r>
        <w:t>Alkoholkonsum und Lebererkrankung – Frauen zeigen geschlechtsspezifische biologische Anfälligkeit</w:t>
      </w:r>
    </w:p>
    <w:p>
      <w:r>
        <w:rPr>
          <w:i/>
          <w:color w:val="666666"/>
          <w:sz w:val="18"/>
        </w:rPr>
        <w:t>Fang L et al.  ·  Cancer Epidemiol  ·  02.06.2026  ·  PMID 42214924</w:t>
      </w:r>
    </w:p>
    <w:p>
      <w:r>
        <w:t>UK-Biobank-Kohortenstudie mit Plasmaproteomik untersucht, ob Geschlecht die Beziehung zwischen Alkoholdosis und alkoholassoziierter Lebererkrankung (ALD) sowie Krebs modifiziert und welche biologischen Mediatoren dies erklären.</w:t>
      </w:r>
    </w:p>
    <w:p>
      <w:r>
        <w:rPr>
          <w:b/>
        </w:rPr>
        <w:t xml:space="preserve">Ergebnis: </w:t>
      </w:r>
      <w:r>
        <w:t>Nach 13,8 Jahren Follow-up: Jede 70 g/Woche Alkoholzuwachs assoziiert mit HR 1,21 (95% KI 1,19–1,23) für ALD bei Frauen vs. HR 1,06 (95% KI 1,05–1,07) bei Männern (p für Interaktion &lt;0,001). Frauen zeigten 2,8-fach höheres ALD-Risiko bei 200 g/Woche. Proteomik identifizierte unterschiedliche Mediatoren: Männer zeigen pro-inflammatorische Pathways (MAPK, NF-κB), Frauen Zelladhäsion und PI3K-Akt-Wege. Biologie erklärt unterschiedliche Alkohelvulnerabilität zwischen Geschlechtern.</w:t>
      </w:r>
    </w:p>
    <w:p>
      <w:r>
        <w:rPr>
          <w:b/>
          <w:sz w:val="19"/>
        </w:rPr>
        <w:t xml:space="preserve">Übertragbarkeit: </w:t>
      </w:r>
      <w:r>
        <w:rPr>
          <w:sz w:val="19"/>
        </w:rPr>
        <w:t>UK-Biobank, vergleichbar mit Deutschland; biologische Mechanismen, nicht Zugang</w:t>
      </w:r>
    </w:p>
    <w:p>
      <w:r>
        <w:rPr>
          <w:color w:val="5A7D3A"/>
          <w:sz w:val="18"/>
        </w:rPr>
        <w:t>https://pubmed.ncbi.nlm.nih.gov/42214924/</w:t>
      </w:r>
    </w:p>
    <w:p>
      <w:pPr>
        <w:pStyle w:val="Heading2"/>
      </w:pPr>
      <w:r>
        <w:t>Fertilitätsschutz bei Transgender-Personen in Italien – Beratung mangelhaft, Reue häufig</w:t>
      </w:r>
    </w:p>
    <w:p>
      <w:r>
        <w:rPr>
          <w:i/>
          <w:color w:val="666666"/>
          <w:sz w:val="18"/>
        </w:rPr>
        <w:t>Azzi M et al.  ·  J Sex Marital Ther  ·  29.05.2026  ·  PMID 42212866</w:t>
      </w:r>
    </w:p>
    <w:p>
      <w:r>
        <w:t>Italienische Querschnittsstudie (n=548) untersucht Einstellungen zur Fertilitätserhaltung, Beratungsqualität und Entscheidungsreue bei Transgender/nicht-binären Personen nach hormoneller Geschlechtsangleichung.</w:t>
      </w:r>
    </w:p>
    <w:p>
      <w:r>
        <w:rPr>
          <w:b/>
        </w:rPr>
        <w:t xml:space="preserve">Ergebnis: </w:t>
      </w:r>
      <w:r>
        <w:t>Fertilitätsschutz-Uptake 4,6% (21 von 548); nur 1 Person nutzte später Gameten. Beratung zur Fertilitätserhaltung wurde nicht systematisch angeboten und oft als suboptimal wahrgenommen. Unter 373 mit Decision Regret Scale-Ausfüllung: 67,3% berichteten Entscheidungsreue – assoziiert mit aktuellem Wunsch nach Familie (p&lt;10⁻⁴) und niedrigerer Zufriedenheit mit Arbeitsbedingungen zum Zeitpunkt der FP-Entscheidung (p=0,018). Lücken im System, keine strukturierte hochwertige Beratung. Zugang-/Informationsproblem, nicht Biologie.</w:t>
      </w:r>
    </w:p>
    <w:p>
      <w:r>
        <w:rPr>
          <w:b/>
          <w:sz w:val="19"/>
        </w:rPr>
        <w:t xml:space="preserve">Übertragbarkeit: </w:t>
      </w:r>
      <w:r>
        <w:rPr>
          <w:sz w:val="19"/>
        </w:rPr>
        <w:t>Italien, Primärquellen-Erhebung; ähnlich in deutschsprachigem Raum</w:t>
      </w:r>
    </w:p>
    <w:p>
      <w:r>
        <w:rPr>
          <w:color w:val="5A7D3A"/>
          <w:sz w:val="18"/>
        </w:rPr>
        <w:t>https://pubmed.ncbi.nlm.nih.gov/42212866/</w:t>
      </w:r>
    </w:p>
    <w:p>
      <w:pPr>
        <w:pStyle w:val="Heading1"/>
      </w:pPr>
      <w:r>
        <w:t>Aufgenommen am 07.09.2026</w:t>
      </w:r>
    </w:p>
    <w:p>
      <w:pPr>
        <w:pStyle w:val="Heading2"/>
      </w:pPr>
      <w:r>
        <w:t>Gemeindliche Gesundheitserziehung senkt Unterernährung von Kindern um 78 Prozent</w:t>
      </w:r>
    </w:p>
    <w:p>
      <w:r>
        <w:rPr>
          <w:i/>
          <w:color w:val="666666"/>
          <w:sz w:val="18"/>
        </w:rPr>
        <w:t>Zakar R et al.  ·  BMC Public Health  ·  29.08.2026  ·  PMID 42668377</w:t>
      </w:r>
    </w:p>
    <w:p>
      <w:r>
        <w:t>Pakistanische Evaluationsstudie mit 253 Frauen und 371 Kindern vor sowie 222 Müttern und 318 Kindern nach Intervention eines Bildungsmoduls über vier Phasen in urbaner Siedlung.</w:t>
      </w:r>
    </w:p>
    <w:p>
      <w:r>
        <w:rPr>
          <w:b/>
        </w:rPr>
        <w:t xml:space="preserve">Ergebnis: </w:t>
      </w:r>
      <w:r>
        <w:t>Unterernährungsprävalenz sank von 28% auf 6% (p&lt;0,001 für Längenwachstum, Gewicht und Kopfumfang). Mütter-BMI stieg signifikant (p=0,002), Anämie blieb unverändert. Gemeinsame Entscheidungen zur Verhütung nahmen zu (p&lt;0,001), Zugangsbarrieren sanken. Intervention zeigt: Geschlechtergerechte Elternschulung ändert Versorgungsergebnisse bei Mangelernährung.</w:t>
      </w:r>
    </w:p>
    <w:p>
      <w:r>
        <w:rPr>
          <w:b/>
          <w:sz w:val="19"/>
        </w:rPr>
        <w:t xml:space="preserve">Übertragbarkeit: </w:t>
      </w:r>
      <w:r>
        <w:rPr>
          <w:sz w:val="19"/>
        </w:rPr>
        <w:t>Pakistan, aber Methodik (partizipative Elternschulung) auf ressourcenärmere deutsche Settings übertragbar.</w:t>
      </w:r>
    </w:p>
    <w:p>
      <w:r>
        <w:rPr>
          <w:color w:val="5A7D3A"/>
          <w:sz w:val="18"/>
        </w:rPr>
        <w:t>https://pubmed.ncbi.nlm.nih.gov/42668377/</w:t>
      </w:r>
    </w:p>
    <w:p>
      <w:pPr>
        <w:pStyle w:val="Heading2"/>
      </w:pPr>
      <w:r>
        <w:t>Emotionsregulation und Empathie senken Kindesmisshandlungs-Risiko unterschiedlich bei Vätern und Müttern</w:t>
      </w:r>
    </w:p>
    <w:p>
      <w:r>
        <w:rPr>
          <w:i/>
          <w:color w:val="666666"/>
          <w:sz w:val="18"/>
        </w:rPr>
        <w:t>Miragoli S et al.  ·  J Interpers Violence  ·  16.07.2026  ·  PMID 42464521</w:t>
      </w:r>
    </w:p>
    <w:p>
      <w:r>
        <w:t>Italienische Gemeindestudie mit 110 Vätern und 149 Müttern (Kinder 6–14 Jahre) zu Zusammenhängen von Emotionsregulation, Empathie und Kindesmisshandlungsrisiko (Child Abuse Potential, CAP) mit Geschlechterdifferenzen.</w:t>
      </w:r>
    </w:p>
    <w:p>
      <w:r>
        <w:rPr>
          <w:b/>
        </w:rPr>
        <w:t xml:space="preserve">Ergebnis: </w:t>
      </w:r>
      <w:r>
        <w:t>Bei Vätern moderierte Mangel an Perspektivenübernahme den Effekt von Impulskontrollschwäche auf CAP. Bei Müttern moderierte empathische Sorge den Effekt von Emotionserkennungsschwäche und mangelndem emotionalen Bewusstsein auf CAP (alle p&lt;0,05). Pflegeverhalten wird durch unterschiedliche psychische Faktoren bei Männern und Frauen gefährdet. Intervention: müsste bei Vätern Perspektivenübernahme, bei Müttern emotionale Kompetenz stärken.</w:t>
      </w:r>
    </w:p>
    <w:p>
      <w:r>
        <w:rPr>
          <w:b/>
          <w:sz w:val="19"/>
        </w:rPr>
        <w:t xml:space="preserve">Übertragbarkeit: </w:t>
      </w:r>
      <w:r>
        <w:rPr>
          <w:sz w:val="19"/>
        </w:rPr>
        <w:t>Italien; Mechanismus zu elterlichem Risiko übertragbar, da psychosozial bedingt.</w:t>
      </w:r>
    </w:p>
    <w:p>
      <w:r>
        <w:rPr>
          <w:color w:val="5A7D3A"/>
          <w:sz w:val="18"/>
        </w:rPr>
        <w:t>https://pubmed.ncbi.nlm.nih.gov/42464521/</w:t>
      </w:r>
    </w:p>
    <w:p>
      <w:pPr>
        <w:pStyle w:val="Heading2"/>
      </w:pPr>
      <w:r>
        <w:t>Sexuelle Minderheiten erwarten LGBTQIA+-freundliche Pflegeheime deutlich häufiger</w:t>
      </w:r>
    </w:p>
    <w:p>
      <w:r>
        <w:rPr>
          <w:i/>
          <w:color w:val="666666"/>
          <w:sz w:val="18"/>
        </w:rPr>
        <w:t>Hajek A et al.  ·  J Am Med Dir Assoc  ·  06.07.2026  ·  PMID 42407223</w:t>
      </w:r>
    </w:p>
    <w:p>
      <w:r>
        <w:t>Deutsche repräsentative Bevölkerungsbefragung mit 2.518 Bürgern (Altersspanne 18–74 Jahre, 8,7% sexuelle Minderheiten) zu Erwartungen an künftige stationäre Pflege.</w:t>
      </w:r>
    </w:p>
    <w:p>
      <w:r>
        <w:rPr>
          <w:b/>
        </w:rPr>
        <w:t xml:space="preserve">Ergebnis: </w:t>
      </w:r>
      <w:r>
        <w:t>Sexuelle Minderheiten bewerteten Toleranz gegenüber LGBTQIA+ (β=1,44; p&lt;0,001), LGBTQIA+-freundliche Dienste (β=1,15; p&lt;0,001) und Offenheit für deren Anliegen (β=1,29; p&lt;0,001) als deutlich wichtiger als Heterosexuelle. Unterschiede besonders ausgeprägt zwischen Heterosexuellen und Homosexuellen. Zugang zur Versorgung: sexuelle Minderheiten fürchten Diskriminierung und verlangen explizit inklusive Rahmenbedingungen.</w:t>
      </w:r>
    </w:p>
    <w:p>
      <w:r>
        <w:rPr>
          <w:b/>
          <w:sz w:val="19"/>
        </w:rPr>
        <w:t xml:space="preserve">Übertragbarkeit: </w:t>
      </w:r>
      <w:r>
        <w:rPr>
          <w:sz w:val="19"/>
        </w:rPr>
        <w:t>Deutschland, eigene Daten; direkte Relevanz für Altenpflege-Planung.</w:t>
      </w:r>
    </w:p>
    <w:p>
      <w:r>
        <w:rPr>
          <w:color w:val="5A7D3A"/>
          <w:sz w:val="18"/>
        </w:rPr>
        <w:t>https://pubmed.ncbi.nlm.nih.gov/42407223/</w:t>
      </w:r>
    </w:p>
    <w:p>
      <w:pPr>
        <w:pStyle w:val="Heading2"/>
      </w:pPr>
      <w:r>
        <w:t>Unattended Blutdruckmessung zeigt höhere Genauigkeit für Frauen mit unkontrollierter Hypertonie</w:t>
      </w:r>
    </w:p>
    <w:p>
      <w:r>
        <w:rPr>
          <w:i/>
          <w:color w:val="666666"/>
          <w:sz w:val="18"/>
        </w:rPr>
        <w:t>Fucile I et al.  ·  High Blood Press Cardiovasc Prev  ·  13.04.2026  ·  PMID 42228045</w:t>
      </w:r>
    </w:p>
    <w:p>
      <w:r>
        <w:t>Italienische Hypertonie-Studie mit 307 Patienten (48% Frauen) vergleicht unüberwachte, überwachte und ambulante Blutdruckmessungen gegen 24-Stunden-Monitoring zur Diagnosegenauigkeit.</w:t>
      </w:r>
    </w:p>
    <w:p>
      <w:r>
        <w:rPr>
          <w:b/>
        </w:rPr>
        <w:t xml:space="preserve">Ergebnis: </w:t>
      </w:r>
      <w:r>
        <w:t>Die unbeaufsichtigte Messung identifizierte unkontrollierte Hypertonie genauer als die begleitete (AUC 0,71 vs. 0,65; p&lt;0,05). Bei Frauen war der Unterschied deutlicher (AUC 0,712 vs. 0,620; p&lt;0,05), weil die Weisskittelhypertonie-Verfälschung bei ihnen stärker ausfiel. Ursache: unterschiedliche emotionale Reaktion auf klinische Messung.</w:t>
      </w:r>
    </w:p>
    <w:p>
      <w:r>
        <w:rPr>
          <w:b/>
          <w:sz w:val="19"/>
        </w:rPr>
        <w:t xml:space="preserve">Übertragbarkeit: </w:t>
      </w:r>
      <w:r>
        <w:rPr>
          <w:sz w:val="19"/>
        </w:rPr>
        <w:t>Italien, vergleichbares Gesundheitssystem; Befund zu Messmethode übertragbar auf Deutschland.</w:t>
      </w:r>
    </w:p>
    <w:p>
      <w:r>
        <w:rPr>
          <w:color w:val="5A7D3A"/>
          <w:sz w:val="18"/>
        </w:rPr>
        <w:t>https://pubmed.ncbi.nlm.nih.gov/42228045/</w:t>
      </w:r>
    </w:p>
    <w:p>
      <w:pPr>
        <w:pStyle w:val="Heading2"/>
      </w:pPr>
      <w:r>
        <w:t>Eisenspeicher beeinflussen Stoffwechselrisiko bei Männern und Frauen unterschiedlich</w:t>
      </w:r>
    </w:p>
    <w:p>
      <w:r>
        <w:rPr>
          <w:i/>
          <w:color w:val="666666"/>
          <w:sz w:val="18"/>
        </w:rPr>
        <w:t>Li W et al.  ·  Front Endocrinol (Lausanne)  ·  15.05.2026  ·  PMID 42222086</w:t>
      </w:r>
    </w:p>
    <w:p>
      <w:r>
        <w:t>Schwedische Querschnittstudie (SCAPIS) mit 1.272 Personen (640 Männer, 632 Frauen, mittleres Alter) zu Geschlechtsunterschieden in Eisenbiomarkern und Herz-Kreislauf-Risikofaktoren.</w:t>
      </w:r>
    </w:p>
    <w:p>
      <w:r>
        <w:rPr>
          <w:b/>
        </w:rPr>
        <w:t xml:space="preserve">Ergebnis: </w:t>
      </w:r>
      <w:r>
        <w:t>Männer hatten höhere Eisenspeicher als prä- und postmenopausale Frauen. Hyperferritinämie trat bei 21,6% der Männer vs. 12,0% der Frauen auf (p&lt;0,01); Metabolisches Syndrom bei 34,5% vs. 24,6% (p&lt;0,01). BMI, Alkoholkonsum, LDL und Triglyzeride korrelierte mit Ferritin bei beiden Geschlechtern. Nur bei Frauen: Alter und Bluthochdruck assoziiert mit Ferritinwert. Ursache: Geschlechtsunterschiede in Eisenmetabolismus biologisch bedingt, werden aber klinisch unterschiedlich relevant.</w:t>
      </w:r>
    </w:p>
    <w:p>
      <w:r>
        <w:rPr>
          <w:b/>
          <w:sz w:val="19"/>
        </w:rPr>
        <w:t xml:space="preserve">Übertragbarkeit: </w:t>
      </w:r>
      <w:r>
        <w:rPr>
          <w:sz w:val="19"/>
        </w:rPr>
        <w:t>Schweden, skandinavisches Registersystem; Befund zu Biomarkern übertragbar auf deutsche Prävention.</w:t>
      </w:r>
    </w:p>
    <w:p>
      <w:r>
        <w:rPr>
          <w:color w:val="5A7D3A"/>
          <w:sz w:val="18"/>
        </w:rPr>
        <w:t>https://pubmed.ncbi.nlm.nih.gov/42222086/</w:t>
      </w:r>
    </w:p>
    <w:p>
      <w:pPr>
        <w:pStyle w:val="Heading2"/>
      </w:pPr>
      <w:r>
        <w:t>Geschlechtsunterschiede und Klassenungleichheit prägen selbstbewertete Gesundheit unterschiedlich</w:t>
      </w:r>
    </w:p>
    <w:p>
      <w:r>
        <w:rPr>
          <w:i/>
          <w:color w:val="666666"/>
          <w:sz w:val="18"/>
        </w:rPr>
        <w:t>Gumà-Lao J et al.  ·  Int J Equity Health  ·  29.05.2026  ·  PMID 42216170</w:t>
      </w:r>
    </w:p>
    <w:p>
      <w:r>
        <w:t>Spanische Querschnittstudie mit 10.210 Erwachsenen (30–60 Jahre) aus der Nationalen Gesundheitserhebung 2023; Entscheidungsbäume analysieren Schnittmengen von Geschlecht und sozialer Klasse bei selbstbewerteter Gesundheit.</w:t>
      </w:r>
    </w:p>
    <w:p>
      <w:r>
        <w:rPr>
          <w:b/>
        </w:rPr>
        <w:t xml:space="preserve">Ergebnis: </w:t>
      </w:r>
      <w:r>
        <w:t>Entscheidungsbäume unterschieden sich signifikant nach intersektionaler Gruppe: weniger qualifizierte Gruppen zeigten komplexere Bäume, d.h. schnellere Ansammlung chronischer Krankheiten in jüngeren Jahren. Schicht und Geschlecht beeinflussen nicht linear, sondern in einzigartigen Kombinationen die Wahrnehmung von Gesundheit. Mechanismus: soziale Determinanten plus Geschlechtsrollen zusammen.</w:t>
      </w:r>
    </w:p>
    <w:p>
      <w:r>
        <w:rPr>
          <w:b/>
          <w:sz w:val="19"/>
        </w:rPr>
        <w:t xml:space="preserve">Übertragbarkeit: </w:t>
      </w:r>
      <w:r>
        <w:rPr>
          <w:sz w:val="19"/>
        </w:rPr>
        <w:t>Spanien, südeuropäisches Gesundheitssystem; Intersektionalitäts-Methodik für Deutschland bedeutsam.</w:t>
      </w:r>
    </w:p>
    <w:p>
      <w:r>
        <w:rPr>
          <w:color w:val="5A7D3A"/>
          <w:sz w:val="18"/>
        </w:rPr>
        <w:t>https://pubmed.ncbi.nlm.nih.gov/42216170/</w:t>
      </w:r>
    </w:p>
    <w:p>
      <w:pPr>
        <w:pStyle w:val="Heading1"/>
      </w:pPr>
      <w:r>
        <w:t>Aufgenommen am 06.09.2026</w:t>
      </w:r>
    </w:p>
    <w:p>
      <w:pPr>
        <w:pStyle w:val="Heading2"/>
      </w:pPr>
      <w:r>
        <w:t>Handgriffstärke bei rheumatoider Arthritis: Frauen erreichen 60% des Normwerts, Männer 66%, deutlicher Geschlechtsunterschied</w:t>
      </w:r>
    </w:p>
    <w:p>
      <w:r>
        <w:rPr>
          <w:i/>
          <w:color w:val="666666"/>
          <w:sz w:val="18"/>
        </w:rPr>
        <w:t>Khojakulova U et al.  ·  Rheumatol Int  ·  04.09.2026  ·  PMID 42696125</w:t>
      </w:r>
    </w:p>
    <w:p>
      <w:r>
        <w:t>Querschnittstudie mit 70 RA-Patienten (78,6% Frauen) zur Erfassung der Handgriffstärke relativ zu alters- und geschlechtsspezifischen Referenznormen und Assoziation mit klinischen Faktoren.</w:t>
      </w:r>
    </w:p>
    <w:p>
      <w:r>
        <w:rPr>
          <w:b/>
        </w:rPr>
        <w:t xml:space="preserve">Ergebnis: </w:t>
      </w:r>
      <w:r>
        <w:t>Mittlere maximale Handgriffstärke 23,9±8,8 kg; niedrige Werte bei 28,6% (20% Frauen, 60% Männer). Vs. Norm: Männer median z=-1,71 (p=0,001), Frauen median z=-0,55 (p&lt;0,001). Inverse Korrelation mit Alter (ρ=-0,4; p=0,001) und Rauchen (ρ=-0,41; p=0,001), positive mit BMI (ρ=0,35; p=0,003). Höheres Alter war unabhängig mit reduzierter Griffstärke assoziiert (B=-0,21 kg/Jahr; p=0,012). Befund: Geschlechtsspezifische Normen wichtig für Sarkopenie-Diagnostik.</w:t>
      </w:r>
    </w:p>
    <w:p>
      <w:r>
        <w:rPr>
          <w:b/>
          <w:sz w:val="19"/>
        </w:rPr>
        <w:t xml:space="preserve">Übertragbarkeit: </w:t>
      </w:r>
      <w:r>
        <w:rPr>
          <w:sz w:val="19"/>
        </w:rPr>
        <w:t>Kasachstan/Südeuropa-Kohort e, aber Messmethoden international standardisiert; Relevanz für deutsches Rheumatologie-Screening.</w:t>
      </w:r>
    </w:p>
    <w:p>
      <w:r>
        <w:rPr>
          <w:color w:val="5A7D3A"/>
          <w:sz w:val="18"/>
        </w:rPr>
        <w:t>https://pubmed.ncbi.nlm.nih.gov/42696125/</w:t>
      </w:r>
    </w:p>
    <w:p>
      <w:pPr>
        <w:pStyle w:val="Heading2"/>
      </w:pPr>
      <w:r>
        <w:t>LGBTQ+-Fachpersonen in Portugal erleben Diskriminierung und navigieren Sichtbarkeitspraktiken am Arbeitsplatz</w:t>
      </w:r>
    </w:p>
    <w:p>
      <w:r>
        <w:rPr>
          <w:i/>
          <w:color w:val="666666"/>
          <w:sz w:val="18"/>
        </w:rPr>
        <w:t>Pieri M  ·  Front Public Health  ·  11.08.2026  ·  PMID 42643510</w:t>
      </w:r>
    </w:p>
    <w:p>
      <w:r>
        <w:t>Qualitative Studie mit 17 LGBTQ+-Fachpersonen im portugiesischen öffentlichen Gesundheitswesen zu deren Arbeitserfahrungen, Sichtbarkeitspraxen und Diskriminierung.</w:t>
      </w:r>
    </w:p>
    <w:p>
      <w:r>
        <w:rPr>
          <w:b/>
        </w:rPr>
        <w:t xml:space="preserve">Ergebnis: </w:t>
      </w:r>
      <w:r>
        <w:t>Kernbefunde: Fachpersonen pendeln zwischen Zurückhaltung beim Offenbaren ihrer Identität und Widerstandsmikropraktiken gegen Diskriminierung. Verbale Misshandlung in interprofessionellen Beziehungen kam häufig vor. Mikropraktiken beeinflussen Definition LGBTQ+-freundlicher Arbeitsumgebungen erheblich. Studie unterstreicht Notwendigkeit weiterer Forschung zu Sichtbarkeit im Gesundheitswesen.</w:t>
      </w:r>
    </w:p>
    <w:p>
      <w:r>
        <w:rPr>
          <w:b/>
          <w:sz w:val="19"/>
        </w:rPr>
        <w:t xml:space="preserve">Übertragbarkeit: </w:t>
      </w:r>
      <w:r>
        <w:rPr>
          <w:sz w:val="19"/>
        </w:rPr>
        <w:t>Portugal (Süd-/Südosteuropa), ähnliche europäische Systeme, aber strukturelle Unterschiede zu deutschsprachigen Ländern.</w:t>
      </w:r>
    </w:p>
    <w:p>
      <w:r>
        <w:rPr>
          <w:color w:val="5A7D3A"/>
          <w:sz w:val="18"/>
        </w:rPr>
        <w:t>https://pubmed.ncbi.nlm.nih.gov/42643510/</w:t>
      </w:r>
    </w:p>
    <w:p>
      <w:pPr>
        <w:pStyle w:val="Heading2"/>
      </w:pPr>
      <w:r>
        <w:t>LGBTQIA+-Minderheitsstress-Skala für Spanien validiert: zeigt psychische Belastung und differenzielle Betroffenheit</w:t>
      </w:r>
    </w:p>
    <w:p>
      <w:r>
        <w:rPr>
          <w:i/>
          <w:color w:val="666666"/>
          <w:sz w:val="18"/>
        </w:rPr>
        <w:t>Nebot-Garcia JE et al.  ·  Arch Sex Behav  ·  06.07.2026  ·  PMID 42406308</w:t>
      </w:r>
    </w:p>
    <w:p>
      <w:r>
        <w:t>Validierungsstudie der spanischen Version einer Skala zur Erfassung von Minderheitsstress (Stigma, Diskriminierung, Viktimisierung) bei 3.254 LGBTQIA+-Erwachsenen in Spanien.</w:t>
      </w:r>
    </w:p>
    <w:p>
      <w:r>
        <w:rPr>
          <w:b/>
        </w:rPr>
        <w:t xml:space="preserve">Ergebnis: </w:t>
      </w:r>
      <w:r>
        <w:t>Fünf-Faktor-Struktur bestätigt (Identitätsverbergen, Ablehnungsanticipation, Diskriminierungserfahrungen, internalisierte Stigma, Viktimisierung). Skala zeigte gute interne Konsistenz und Konstruktvalidität; Messinvarianz über Geschlechterkategorien (Männer, Frauen, nichtbinär). LGBTQIA+-Minderheitsstress korreliert mit Angst und Depression. Skala kann Forschung und Intervention bei den am stärksten betroffenen Gruppen leiten.</w:t>
      </w:r>
    </w:p>
    <w:p>
      <w:r>
        <w:rPr>
          <w:b/>
          <w:sz w:val="19"/>
        </w:rPr>
        <w:t xml:space="preserve">Übertragbarkeit: </w:t>
      </w:r>
      <w:r>
        <w:rPr>
          <w:sz w:val="19"/>
        </w:rPr>
        <w:t>Spanien (Südwesteuropa), vergleichbar mit deutschsprachigen LGBTQIA+-Populationen; aber Unterschied: keine Pflegeversicherung wie Deutschland.</w:t>
      </w:r>
    </w:p>
    <w:p>
      <w:r>
        <w:rPr>
          <w:color w:val="5A7D3A"/>
          <w:sz w:val="18"/>
        </w:rPr>
        <w:t>https://pubmed.ncbi.nlm.nih.gov/42406308/</w:t>
      </w:r>
    </w:p>
    <w:p>
      <w:pPr>
        <w:pStyle w:val="Heading2"/>
      </w:pPr>
      <w:r>
        <w:t>Klinische Kompetenzen für LGBTQ-Versorgung: Hausärzte zeigen niedrigere Werte als Psychiater, Schulung hilft</w:t>
      </w:r>
    </w:p>
    <w:p>
      <w:r>
        <w:rPr>
          <w:i/>
          <w:color w:val="666666"/>
          <w:sz w:val="18"/>
        </w:rPr>
        <w:t>Cruciani G et al.  ·  LGBT Health  ·  15.06.2026  ·  PMID 42295979</w:t>
      </w:r>
    </w:p>
    <w:p>
      <w:r>
        <w:t>Querschnittstudie mit 165 italienischen Fachpersonen (Hausarzt, Sexualmedizin, Psychiatrie) zur Untersuchung von Faktoren, die klinische Fähigkeiten in LGBTQ-Versorgung beeinflussen.</w:t>
      </w:r>
    </w:p>
    <w:p>
      <w:r>
        <w:rPr>
          <w:b/>
        </w:rPr>
        <w:t xml:space="preserve">Ergebnis: </w:t>
      </w:r>
      <w:r>
        <w:t>Hausärzte berichteten signifikant niedrigere klinische Fähigkeiten, höhere heteronormative Überzeugungen und Vorurteile als Psychiater; auch niedrigste LGBTQ-Schulungsteilnahme unter Gruppen. Höhere klinische Fähigkeiten waren assoziiert mit niedrigeren heteronormativen Überzeugungen (p&lt;0,05), LGBTQ-Schulungsteilnahme und Kontakt mit LGBTQ-Personen im privaten Umfeld. Befund: Gezielte Schulungen und Leitlinien nötig, um Heteronormativität in Versorgung zu verringern.</w:t>
      </w:r>
    </w:p>
    <w:p>
      <w:r>
        <w:rPr>
          <w:b/>
          <w:sz w:val="19"/>
        </w:rPr>
        <w:t xml:space="preserve">Übertragbarkeit: </w:t>
      </w:r>
      <w:r>
        <w:rPr>
          <w:sz w:val="19"/>
        </w:rPr>
        <w:t>Italien, mediterranes Südeuropa; DACH-System hat ähnliche Lücken in LGBTQ-Lehrplänen.</w:t>
      </w:r>
    </w:p>
    <w:p>
      <w:r>
        <w:rPr>
          <w:color w:val="5A7D3A"/>
          <w:sz w:val="18"/>
        </w:rPr>
        <w:t>https://pubmed.ncbi.nlm.nih.gov/42295979/</w:t>
      </w:r>
    </w:p>
    <w:p>
      <w:pPr>
        <w:pStyle w:val="Heading2"/>
      </w:pPr>
      <w:r>
        <w:t>Reproduktive Belastungen, nicht biologisches Geschlecht, erklären erhöhtes Osteoarthrose-Risiko von Frauen</w:t>
      </w:r>
    </w:p>
    <w:p>
      <w:r>
        <w:rPr>
          <w:i/>
          <w:color w:val="666666"/>
          <w:sz w:val="18"/>
        </w:rPr>
        <w:t>Das S et al.  ·  BMC Public Health  ·  02.06.2026  ·  PMID 42231317</w:t>
      </w:r>
    </w:p>
    <w:p>
      <w:r>
        <w:t>Deutsche Bevölkerungsstudie mit 4.687 Personen (davon 2.359 Frauen) zur Untersuchung, ob das höhere Osteoarthrose-Risiko von Frauen auf biologische Geschlechtsentwicklung oder auf reproduktive Kosten (Schwangerschaft, Elternschaft) zurückzuführen ist.</w:t>
      </w:r>
    </w:p>
    <w:p>
      <w:r>
        <w:rPr>
          <w:b/>
        </w:rPr>
        <w:t xml:space="preserve">Ergebnis: </w:t>
      </w:r>
      <w:r>
        <w:t>Kein signifikanter OA-Unterschied zwischen kinderlosen Männern (37%) und Frauen (44%; p=0,081). Frauen mit Kindern hatten aber höheres OA-Risiko als kinderlose Frauen (51% vs. 44%; p=0,047). OA-Risiko stieg bei Frauen pro Kind um 0,10 (95% KI 0,03–0,179; p=0,006), nicht bei Männern (p=0,660). Befund: Geschlechtsdimorphismus entsteht durch reproduktive Kosten, nicht durch Biologie.</w:t>
      </w:r>
    </w:p>
    <w:p>
      <w:r>
        <w:rPr>
          <w:b/>
          <w:sz w:val="19"/>
        </w:rPr>
        <w:t xml:space="preserve">Übertragbarkeit: </w:t>
      </w:r>
      <w:r>
        <w:rPr>
          <w:sz w:val="19"/>
        </w:rPr>
        <w:t>Deutschland, DEAS-Bevölkerungsdaten mit großer Stichprobe, aussagekräftig für deutsches Versicherungssystem.</w:t>
      </w:r>
    </w:p>
    <w:p>
      <w:r>
        <w:rPr>
          <w:color w:val="5A7D3A"/>
          <w:sz w:val="18"/>
        </w:rPr>
        <w:t>https://pubmed.ncbi.nlm.nih.gov/42231317/</w:t>
      </w:r>
    </w:p>
    <w:p>
      <w:pPr>
        <w:pStyle w:val="Heading2"/>
      </w:pPr>
      <w:r>
        <w:t>Frühe Multiple-Sklerose-Verläufe zeigen keine substanziellen Geschlechtsunterschiede in Behinderung oder Therapiestart</w:t>
      </w:r>
    </w:p>
    <w:p>
      <w:r>
        <w:rPr>
          <w:i/>
          <w:color w:val="666666"/>
          <w:sz w:val="18"/>
        </w:rPr>
        <w:t>Poser PL et al.  ·  Mult Scler  ·  01.06.2026  ·  PMID 42224266</w:t>
      </w:r>
    </w:p>
    <w:p>
      <w:r>
        <w:t>Deutsche Multizenter-Kohorte mit 1.210 therapienaiven Patienten zur Analyse von Geschlechtsunterschieden in Relapse-Präsentation, Behinderungsentwicklung und Behandlung mit Immunmodulatoren in der frühen MS-Phase.</w:t>
      </w:r>
    </w:p>
    <w:p>
      <w:r>
        <w:rPr>
          <w:b/>
        </w:rPr>
        <w:t xml:space="preserve">Ergebnis: </w:t>
      </w:r>
      <w:r>
        <w:t>Keine signifikanten Geschlechtsunterschiede bei Relapse-Präsentation, Zeit bis EDSS ≥3,0 (adjustierte HR 1,32; 95% KI 0,95–1,81) oder DMT-Exposition (p=0,60). Initial hocheffektive Therapie erhielten nur ~5% beider Geschlechter; Prädiktoren waren jüngeres Alter (OR 0,95; p=0,001), höhere Baseline-EDSS (OR 1,79; p&lt;0,001) und RRMS-Diagnose (OR 2,26; p=0,007), nicht aber Geschlecht (OR 0,99; p=0,94). Befunde deuten auf Wandel früherer Geschlechtsmuster und geringere Geschlechtsbias bei Therapieentscheidungen in spezialisierten MS-Zentren.</w:t>
      </w:r>
    </w:p>
    <w:p>
      <w:r>
        <w:rPr>
          <w:b/>
          <w:sz w:val="19"/>
        </w:rPr>
        <w:t xml:space="preserve">Übertragbarkeit: </w:t>
      </w:r>
      <w:r>
        <w:rPr>
          <w:sz w:val="19"/>
        </w:rPr>
        <w:t>Deutschland, spezialisierte MS-Zentren mit Routinedaten, vergleichbare Versorgungsstrukturen.</w:t>
      </w:r>
    </w:p>
    <w:p>
      <w:r>
        <w:rPr>
          <w:color w:val="5A7D3A"/>
          <w:sz w:val="18"/>
        </w:rPr>
        <w:t>https://pubmed.ncbi.nlm.nih.gov/42224266/</w:t>
      </w:r>
    </w:p>
    <w:p>
      <w:pPr>
        <w:pStyle w:val="Heading1"/>
      </w:pPr>
      <w:r>
        <w:t>Aufgenommen am 05.09.2026</w:t>
      </w:r>
    </w:p>
    <w:p>
      <w:pPr>
        <w:pStyle w:val="Heading2"/>
      </w:pPr>
      <w:r>
        <w:t>US-Sterblichkeit durch Herzinfarkt und Hypertonie: Männer sterben doppelt so oft wie Frauen, Afroamerikaner am stärksten betroffen</w:t>
      </w:r>
    </w:p>
    <w:p>
      <w:r>
        <w:rPr>
          <w:i/>
          <w:color w:val="666666"/>
          <w:sz w:val="18"/>
        </w:rPr>
        <w:t>Tariq MS et al.  ·  Clin Cardiol  ·  Sept. 2026  ·  PMID 42695462</w:t>
      </w:r>
    </w:p>
    <w:p>
      <w:r>
        <w:t>Retrospektive US-Analyse von 3.776.396 Todesfällen durch koronare Herzkrankheit und Hypertonie 2000–2024 nach Altersstandard-Mortalitätsrate mit Joinpoint-Regressionsanalyse temporaler Trends und demografischer Disparitäten.</w:t>
      </w:r>
    </w:p>
    <w:p>
      <w:r>
        <w:rPr>
          <w:b/>
        </w:rPr>
        <w:t xml:space="preserve">Ergebnis: </w:t>
      </w:r>
      <w:r>
        <w:t>Altersstandard-Mortalitätsrate stieg von 57,22 auf 76,95 pro 100.000 (2000–2024); deutlicher Anstieg 2018–2021 (APC 10,13%), dann Rückgang 2021–2024 (APC -3,50%). Männer hatten 2024 doppelte Rate (106,43 vs. 52,68 pro 100.000 Frauen). Nicht-hispanische Afroamerikaner höchste Rate (96,90). Nichtmetropolitane Gebiete stärker betroffen (AAPC 2,79%) als metropolitan (1,23%). Hypertensive Herzkrankheit und Nierenerkrankung gestiegen (AAPC 4,35% bzw. 8,83%), essenzielle Hypertonie stabil. Süden der USA höchste regionale Rate (70,25; AAPC 1,53%).</w:t>
      </w:r>
    </w:p>
    <w:p>
      <w:r>
        <w:rPr>
          <w:b/>
          <w:sz w:val="19"/>
        </w:rPr>
        <w:t xml:space="preserve">Übertragbarkeit: </w:t>
      </w:r>
      <w:r>
        <w:rPr>
          <w:sz w:val="19"/>
        </w:rPr>
        <w:t>USA-Daten; geschlechtliche Unterschiede sind etabliert; Ursachen (Zugang, Diagnostik, Behandlung) nicht differenziert analysiert.</w:t>
      </w:r>
    </w:p>
    <w:p>
      <w:r>
        <w:rPr>
          <w:color w:val="5A7D3A"/>
          <w:sz w:val="18"/>
        </w:rPr>
        <w:t>https://pubmed.ncbi.nlm.nih.gov/42695462/</w:t>
      </w:r>
    </w:p>
    <w:p>
      <w:pPr>
        <w:pStyle w:val="Heading2"/>
      </w:pPr>
      <w:r>
        <w:t>Amisulprid: Frauen ertragen höhere Plasmakonzentrationen, bevor Hyperprolaktinämie auftritt</w:t>
      </w:r>
    </w:p>
    <w:p>
      <w:r>
        <w:rPr>
          <w:i/>
          <w:color w:val="666666"/>
          <w:sz w:val="18"/>
        </w:rPr>
        <w:t>Wang H et al.  ·  Drug Des Devel Ther  ·  30.08.2026  ·  PMID 42695070</w:t>
      </w:r>
    </w:p>
    <w:p>
      <w:r>
        <w:t>Retrospektive Analyse von 209 Patienten unter Amisulprid-Behandlung identifiziert Geschlecht als unabhängigen Risikofaktor für arzneimittelbedingte Prolaktinerhöhung und bestimmt geschlechtsspezifische Plasmaspiegelschwellen.</w:t>
      </w:r>
    </w:p>
    <w:p>
      <w:r>
        <w:rPr>
          <w:b/>
        </w:rPr>
        <w:t xml:space="preserve">Ergebnis: </w:t>
      </w:r>
      <w:r>
        <w:t>Multivariable Analyse identifizierte Geschlecht, Amisulprid-Plasmakonzentration und Komedikation (Idebenon, Lorazepam) als unabhängige Risikofaktoren (p &lt; 0,05). ROC-Analyse ergab Schwellenwert von 28 ng/ml für erhöhte Prolaktin-Werte insgesamt. Geschlechtsspezifische Amisulprid-Konzentrationsschwellen waren höher bei Frauen (317,8 ng/ml) als Männern (294,2 ng/ml), was auf größere Toleranz bei Frauen hindeutet und signifikante Geschlechterdifferenzen in Empfindlichkeit für Prolaktin-Elevation bestätigt.</w:t>
      </w:r>
    </w:p>
    <w:p>
      <w:r>
        <w:rPr>
          <w:b/>
          <w:sz w:val="19"/>
        </w:rPr>
        <w:t xml:space="preserve">Übertragbarkeit: </w:t>
      </w:r>
      <w:r>
        <w:rPr>
          <w:sz w:val="19"/>
        </w:rPr>
        <w:t>Biologische Geschlechterdifferenz (Rezeptorbindung/Metabolismus); therapeutisches Drug Monitoring adaptierbar auf Deutschland.</w:t>
      </w:r>
    </w:p>
    <w:p>
      <w:r>
        <w:rPr>
          <w:color w:val="5A7D3A"/>
          <w:sz w:val="18"/>
        </w:rPr>
        <w:t>https://pubmed.ncbi.nlm.nih.gov/42695070/</w:t>
      </w:r>
    </w:p>
    <w:p>
      <w:pPr>
        <w:pStyle w:val="Heading2"/>
      </w:pPr>
      <w:r>
        <w:t>Endoskopie-Training: Frauen berichten Ergonomie-Probleme, erleben mentale Niederlagen</w:t>
      </w:r>
    </w:p>
    <w:p>
      <w:r>
        <w:rPr>
          <w:i/>
          <w:color w:val="666666"/>
          <w:sz w:val="18"/>
        </w:rPr>
        <w:t>Fairbanks J et al.  ·  J Surg Educ  ·  11.08.2026  ·  PMID 42580002</w:t>
      </w:r>
    </w:p>
    <w:p>
      <w:r>
        <w:t>Britische Qualitätsstudie mit 10 weiblichen chirurgischen Assistentinnen untersucht deren Erfahrungen in der Endoskopie-Ausbildung, insbesondere Ergonomie und die Wirksamkeit immersiver Trainingsmethoden.</w:t>
      </w:r>
    </w:p>
    <w:p>
      <w:r>
        <w:rPr>
          <w:b/>
        </w:rPr>
        <w:t xml:space="preserve">Ergebnis: </w:t>
      </w:r>
      <w:r>
        <w:t>Mehrheit der weiblichen Trainees berichtete Schwierigkeiten bei Handhabung und Manövrieren des Endoskops, Belastung beim Erreichen von Bedienteilen, Frustration bis zur subjektiven mentalen Niederlage über Zeit. Viele Trainees waren sich nicht bewusst, dass dies ein strukturelles Ergonomie-Problem für Frauen darstellt, und attribuierten es persönlich. Immersive Trainingsmethoden zeigten positive Effekte (Volumen, Vertrauen), wurden aber als physisch und psychisch belastend wahrgenommen. Awareness für Ergonomie und geschlechterspezifische Bedarfe fehlte stark.</w:t>
      </w:r>
    </w:p>
    <w:p>
      <w:r>
        <w:rPr>
          <w:b/>
          <w:sz w:val="19"/>
        </w:rPr>
        <w:t xml:space="preserve">Übertragbarkeit: </w:t>
      </w:r>
      <w:r>
        <w:rPr>
          <w:sz w:val="19"/>
        </w:rPr>
        <w:t>Europäische Studie mit direktem Versorgungsbezug; erklärt Leistungsunterschiede durch Arbeitsgestaltung, nicht Kompetenz.</w:t>
      </w:r>
    </w:p>
    <w:p>
      <w:r>
        <w:rPr>
          <w:color w:val="5A7D3A"/>
          <w:sz w:val="18"/>
        </w:rPr>
        <w:t>https://pubmed.ncbi.nlm.nih.gov/42580002/</w:t>
      </w:r>
    </w:p>
    <w:p>
      <w:pPr>
        <w:pStyle w:val="Heading2"/>
      </w:pPr>
      <w:r>
        <w:t>Geschlecht prägt Pflegepfade bei Demenz: Frauen länger institutionalisiert, höhere Langzeitkosten</w:t>
      </w:r>
    </w:p>
    <w:p>
      <w:r>
        <w:rPr>
          <w:i/>
          <w:color w:val="666666"/>
          <w:sz w:val="18"/>
        </w:rPr>
        <w:t>Meijer YM et al.  ·  J Am Med Dir Assoc  ·  16.07.2026  ·  PMID 42462378</w:t>
      </w:r>
    </w:p>
    <w:p>
      <w:r>
        <w:t>Niederländische Abrechnungsdaten von 15.214 Demenzpatienten, davon 8.465 Frauen, zeigen geschlechtsspezifische Unterschiede in Institutionalisierung, Mortalität und Kostenverläufen über 6 Jahre Nachverfolgung.</w:t>
      </w:r>
    </w:p>
    <w:p>
      <w:r>
        <w:rPr>
          <w:b/>
        </w:rPr>
        <w:t xml:space="preserve">Ergebnis: </w:t>
      </w:r>
      <w:r>
        <w:t>Frauen hatten höheres Institutionalisierungsrisiko (HR 1,21; 95% CI 1,16–1,26), niedrigere Mortalität nach Institutionalisierung (HR 0,61; 95% CI 0,58–0,64), längere Verweildauer (Median 2,44 vs. 1,47 Jahre) und höhere Langzeitpflegekosten (+€11.247; 95% CI €10.462–€11.852 pro Jahr), während Gesundheitskosten niedriger waren (-€1.297; 95% CI -€1.597 bis -€1.086). Die Unterschiede blieben nach Adjustment für Alter und Institutionalisierung signifikant. Die biologische Grundlage der unterschiedlichen Mortalität wird nicht erklärt; die längere Lebensdauer mit Demenz ist dokumentiert.</w:t>
      </w:r>
    </w:p>
    <w:p>
      <w:r>
        <w:rPr>
          <w:b/>
          <w:sz w:val="19"/>
        </w:rPr>
        <w:t xml:space="preserve">Übertragbarkeit: </w:t>
      </w:r>
      <w:r>
        <w:rPr>
          <w:sz w:val="19"/>
        </w:rPr>
        <w:t>Vergleichbares Versicherungssystem (Niederlande); Datenqualität europäischer Register verfügbar.</w:t>
      </w:r>
    </w:p>
    <w:p>
      <w:r>
        <w:rPr>
          <w:color w:val="5A7D3A"/>
          <w:sz w:val="18"/>
        </w:rPr>
        <w:t>https://pubmed.ncbi.nlm.nih.gov/42462378/</w:t>
      </w:r>
    </w:p>
    <w:p>
      <w:pPr>
        <w:pStyle w:val="Heading2"/>
      </w:pPr>
      <w:r>
        <w:t>Krebsbedingte Gewichtsverluste werden unterschiedlich wahrgenommen: Frauen positiver, Männer belastet</w:t>
      </w:r>
    </w:p>
    <w:p>
      <w:r>
        <w:rPr>
          <w:i/>
          <w:color w:val="666666"/>
          <w:sz w:val="18"/>
        </w:rPr>
        <w:t>Goodrose-Flores C et al.  ·  BMJ Open  ·  15.07.2026  ·  PMID 42457417</w:t>
      </w:r>
    </w:p>
    <w:p>
      <w:r>
        <w:t>Studienprotokoll der internationalen GRACE-Studie untersucht geschlechtsspezifische Unterschiede in der Körperbildwahrnehmung während tumorbedingten Gewichtsverlusts in 6 Ländern mit insgesamt 600 Patienten (je 50 Frauen und Männer pro Land).</w:t>
      </w:r>
    </w:p>
    <w:p>
      <w:r>
        <w:rPr>
          <w:b/>
        </w:rPr>
        <w:t xml:space="preserve">Ergebnis: </w:t>
      </w:r>
      <w:r>
        <w:t>Frühere schwedische Studie zeigte, dass Männer mit fortgeschrittenem Krebs Gewichtsverlust negativ wahrnahmen, während Frauen ihn positiver bewerteten. GRACE untersucht diese Unterschiede mit dem Body Image Scale (BIS) primär als Differenz zwischen Frauen und Männern; klinisch signifikant ist eine Differenz von 3 BIS-Punkten. Länderübergreifende Variation wird exploratorisch untersucht. Das Studiendesign ist pragmatisch (Länder: Schweden, Chile, Neuseeland, Schweiz, USA, Vietnam); Datenerhebung 2025 gestartet.</w:t>
      </w:r>
    </w:p>
    <w:p>
      <w:r>
        <w:rPr>
          <w:b/>
          <w:sz w:val="19"/>
        </w:rPr>
        <w:t xml:space="preserve">Übertragbarkeit: </w:t>
      </w:r>
      <w:r>
        <w:rPr>
          <w:sz w:val="19"/>
        </w:rPr>
        <w:t>Neue Studie zeigt Studienansatz; noch keine Ergebnisse verfügbar – zur Verfolgung vorgemerkt.</w:t>
      </w:r>
    </w:p>
    <w:p>
      <w:r>
        <w:rPr>
          <w:color w:val="5A7D3A"/>
          <w:sz w:val="18"/>
        </w:rPr>
        <w:t>https://pubmed.ncbi.nlm.nih.gov/42457417/</w:t>
      </w:r>
    </w:p>
    <w:p>
      <w:pPr>
        <w:pStyle w:val="Heading2"/>
      </w:pPr>
      <w:r>
        <w:t>Urethraplastik nach geschlechtsangleichender Chirurgie: Längung der Harnröhre erhöht Komplikationsrisiko</w:t>
      </w:r>
    </w:p>
    <w:p>
      <w:r>
        <w:rPr>
          <w:i/>
          <w:color w:val="666666"/>
          <w:sz w:val="18"/>
        </w:rPr>
        <w:t>Waterloos M et al.  ·  Eur Urol Focus  ·  11.06.2026  ·  PMID 42276909</w:t>
      </w:r>
    </w:p>
    <w:p>
      <w:r>
        <w:t>Übersichtsarbeit zu Komplikationen nach geschlechtsangleichender genitaler Chirurgie (Metoidioplastie und Phalloplastie) bei transMännern mit und ohne Urethrallängung, basierend auf heterogener Fachliteratur.</w:t>
      </w:r>
    </w:p>
    <w:p>
      <w:r>
        <w:rPr>
          <w:b/>
        </w:rPr>
        <w:t xml:space="preserve">Ergebnis: </w:t>
      </w:r>
      <w:r>
        <w:t>Konstruktion der Neourethra ist Hauptdeterminant postoperativer Morbidität; Fisteln und Strikturen sind häufigste Komplikationen. Urethrallängung konsistent mit höheren Komplikationsraten assoziiert, Verfahren ohne Längung zeigen niedrigere Morbidität ohne klare Unterschiede in patientenberichteten Outcomes. Staging der Rekonstruktion und Vaginektomie können Ergebnisse beeinflussen; aktuelle Evidenz bleibt inklusiv. Shared Decision-Making wird als notwendig unterstrichen, um chirurgische Ziele mit Patientenerwartungen abzustimmen.</w:t>
      </w:r>
    </w:p>
    <w:p>
      <w:r>
        <w:rPr>
          <w:b/>
          <w:sz w:val="19"/>
        </w:rPr>
        <w:t xml:space="preserve">Übertragbarkeit: </w:t>
      </w:r>
      <w:r>
        <w:rPr>
          <w:sz w:val="19"/>
        </w:rPr>
        <w:t>Europäische Fachübersicht; identifiziert biologische Herausforderung (Gewebeverträglichkeit) und braucht individualisierte Beratung.</w:t>
      </w:r>
    </w:p>
    <w:p>
      <w:r>
        <w:rPr>
          <w:color w:val="5A7D3A"/>
          <w:sz w:val="18"/>
        </w:rPr>
        <w:t>https://pubmed.ncbi.nlm.nih.gov/42276909/</w:t>
      </w:r>
    </w:p>
    <w:p>
      <w:pPr>
        <w:pStyle w:val="Heading1"/>
      </w:pPr>
      <w:r>
        <w:t>Aufgenommen am 04.09.2026</w:t>
      </w:r>
    </w:p>
    <w:p>
      <w:pPr>
        <w:pStyle w:val="Heading2"/>
      </w:pPr>
      <w:r>
        <w:t>Ernährungsvielfalt verbessert Handgriffstärke – aber unterschiedlich nach Geschlecht</w:t>
      </w:r>
    </w:p>
    <w:p>
      <w:r>
        <w:rPr>
          <w:i/>
          <w:color w:val="666666"/>
          <w:sz w:val="18"/>
        </w:rPr>
        <w:t>Chu X et al.  ·  Front Public Health  ·  18.08.2026  ·  PMID 42682463</w:t>
      </w:r>
    </w:p>
    <w:p>
      <w:r>
        <w:t>Querschnittstudie mit 1.613 älteren Erwachsenen (≥60 Jahre) in China zur Mediatorfunktion von Harnsäure in der Assoziation zwischen Ernährungsvielfalt und Muskelkraft, stratifiziert nach Geschlecht.</w:t>
      </w:r>
    </w:p>
    <w:p>
      <w:r>
        <w:rPr>
          <w:b/>
        </w:rPr>
        <w:t xml:space="preserve">Ergebnis: </w:t>
      </w:r>
      <w:r>
        <w:t>Höhere Ernährungsvielfalt mit höherer Handgriffstärke assoziiert (β = 0,366). Harnsäure mediierte diesen Effekt nur bei Männern (9,22% des Gesamteffekts auf relative Handgriffstärke), nicht bei Frauen. Bei Männern mit Harnsäure &gt;363 μmol/L signifikanter negativer Effekt auf Muskelkraft, bei Frauen nicht nachgewiesen.</w:t>
      </w:r>
    </w:p>
    <w:p>
      <w:r>
        <w:rPr>
          <w:b/>
          <w:sz w:val="19"/>
        </w:rPr>
        <w:t xml:space="preserve">Übertragbarkeit: </w:t>
      </w:r>
      <w:r>
        <w:rPr>
          <w:sz w:val="19"/>
        </w:rPr>
        <w:t>China, aber Mechanismus (Harnsäure-Metabolismus) biologisch grundlegend; Geschlechtsspezifität klinisch bedeutsam</w:t>
      </w:r>
    </w:p>
    <w:p>
      <w:r>
        <w:rPr>
          <w:color w:val="5A7D3A"/>
          <w:sz w:val="18"/>
        </w:rPr>
        <w:t>https://pubmed.ncbi.nlm.nih.gov/42682463/</w:t>
      </w:r>
    </w:p>
    <w:p>
      <w:pPr>
        <w:pStyle w:val="Heading2"/>
      </w:pPr>
      <w:r>
        <w:t>Geschlechtsangleichende Brustoperation verbessert Geschlechtsdysphorie deutlich</w:t>
      </w:r>
    </w:p>
    <w:p>
      <w:r>
        <w:rPr>
          <w:i/>
          <w:color w:val="666666"/>
          <w:sz w:val="18"/>
        </w:rPr>
        <w:t>Jacobi M et al.  ·  J Plast Reconstr Aesthet Surg  ·  10.05.2026  ·  PMID 42401040</w:t>
      </w:r>
    </w:p>
    <w:p>
      <w:r>
        <w:t>Mixed-Methods-Studie mit 13 Patienten untersucht deutsche Übersetzung und klinische Anwendbarkeit des GENDER-Q zur Messung von Outcome nach masculinizing chest surgery.</w:t>
      </w:r>
    </w:p>
    <w:p>
      <w:r>
        <w:rPr>
          <w:b/>
        </w:rPr>
        <w:t xml:space="preserve">Ergebnis: </w:t>
      </w:r>
      <w:r>
        <w:t>Postoperativ signifikante Verbesserungen in allen Domains: Brusterscheinung (Mittelwert 64,23 Punkte, standardized response mean 3,59), Körperbild (36,85 Punkte, SRM 1,59), Geschlechtsdysphorie (23,08 Punkte, SRM 1,64), psychische Belastung (26,84 Punkte, SRM 2,04; alle p &lt; 0,013). Zufriedenheit mit Versorgungserlebnis bereits baseline hoch (87,6–94,3), stabil. Instrument zeigt gute sprachliche und konzeptuelle Äquivalenz.</w:t>
      </w:r>
    </w:p>
    <w:p>
      <w:r>
        <w:rPr>
          <w:b/>
          <w:sz w:val="19"/>
        </w:rPr>
        <w:t xml:space="preserve">Übertragbarkeit: </w:t>
      </w:r>
      <w:r>
        <w:rPr>
          <w:sz w:val="19"/>
        </w:rPr>
        <w:t>Deutschland, klinisches Versorgungsprogramm; kleine Pilotstudie, aber direkter Relevanzbezug</w:t>
      </w:r>
    </w:p>
    <w:p>
      <w:r>
        <w:rPr>
          <w:color w:val="5A7D3A"/>
          <w:sz w:val="18"/>
        </w:rPr>
        <w:t>https://pubmed.ncbi.nlm.nih.gov/42401040/</w:t>
      </w:r>
    </w:p>
    <w:p>
      <w:pPr>
        <w:pStyle w:val="Heading2"/>
      </w:pPr>
      <w:r>
        <w:t>Bauchfett und Hirnstoffwechsel bei Frauen stärker gefährdet als bei Männern</w:t>
      </w:r>
    </w:p>
    <w:p>
      <w:r>
        <w:rPr>
          <w:i/>
          <w:color w:val="666666"/>
          <w:sz w:val="18"/>
        </w:rPr>
        <w:t>Sandforth L et al.  ·  Diabetologia  ·  03.07.2026  ·  PMID 42399494</w:t>
      </w:r>
    </w:p>
    <w:p>
      <w:r>
        <w:t>Studie untersucht die Geschlechtsspezifität von Körperfettverteilung als Prädiktor für die Insulinempfindlichkeit des Hippocampus im Alter mit Daten von 260 Personen.</w:t>
      </w:r>
    </w:p>
    <w:p>
      <w:r>
        <w:rPr>
          <w:b/>
        </w:rPr>
        <w:t xml:space="preserve">Ergebnis: </w:t>
      </w:r>
      <w:r>
        <w:t>Bei älteren Frauen war eine ungünstige Fettverteilung (erhöhtes Waist-to-Hip-Ratio, viscerale Fettmasse, intrahepatische Lipide) signifikant mit geringerer Hippocampus-Insulinresponsivität assoziiert (alle p &lt; 0,05); Effekt stärker postmenopausal. Bei Männern keine signifikanten Assoziationen von Fettverteilung mit Hippocampus-Insulinempfindlichkeit. Befund weist auf geschlechtsspezifische Mekanismen der Diabetesentstehung hin.</w:t>
      </w:r>
    </w:p>
    <w:p>
      <w:r>
        <w:rPr>
          <w:b/>
          <w:sz w:val="19"/>
        </w:rPr>
        <w:t xml:space="preserve">Übertragbarkeit: </w:t>
      </w:r>
      <w:r>
        <w:rPr>
          <w:sz w:val="19"/>
        </w:rPr>
        <w:t>Deutschland, prospektiv gemessene Stoffwechselvariablen, aber kleine US-Population</w:t>
      </w:r>
    </w:p>
    <w:p>
      <w:r>
        <w:rPr>
          <w:color w:val="5A7D3A"/>
          <w:sz w:val="18"/>
        </w:rPr>
        <w:t>https://pubmed.ncbi.nlm.nih.gov/42399494/</w:t>
      </w:r>
    </w:p>
    <w:p>
      <w:pPr>
        <w:pStyle w:val="Heading2"/>
      </w:pPr>
      <w:r>
        <w:t>Körperliche Aktivität wird bei Kindern durch unterschiedliche genetische Faktoren beeinflusst</w:t>
      </w:r>
    </w:p>
    <w:p>
      <w:r>
        <w:rPr>
          <w:i/>
          <w:color w:val="666666"/>
          <w:sz w:val="18"/>
        </w:rPr>
        <w:t>Helgadóttir B et al.  ·  Sci Rep  ·  10.06.2026  ·  PMID 42271163</w:t>
      </w:r>
    </w:p>
    <w:p>
      <w:r>
        <w:t>Zwillingsstudie mit 2.046 schwedischen 9-Jährigen untersucht geschlechtsspezifische genetische und Umwelteinflüsse auf Bewegungsaktivität und Sitzzeit mit Beschleunigungsmesser.</w:t>
      </w:r>
    </w:p>
    <w:p>
      <w:r>
        <w:rPr>
          <w:b/>
        </w:rPr>
        <w:t xml:space="preserve">Ergebnis: </w:t>
      </w:r>
      <w:r>
        <w:t>Bei Jungen: Genetik dominiert vigorous PA (heritability 0,57), bei Mädchen light PA (heritability 0,44); für vigorous PA signifikanter Unterschied zwischen Geschlechtern (p = 0,001). Geteilte Umwelteffekte zeigen inverses Muster zu genetischen. Befund unterstreicht geschlechtsspezifische biologische Mechanismen der Aktivitätsmuster.</w:t>
      </w:r>
    </w:p>
    <w:p>
      <w:r>
        <w:rPr>
          <w:b/>
          <w:sz w:val="19"/>
        </w:rPr>
        <w:t xml:space="preserve">Übertragbarkeit: </w:t>
      </w:r>
      <w:r>
        <w:rPr>
          <w:sz w:val="19"/>
        </w:rPr>
        <w:t>Schweden, hohe Datenqualität, aber Grundlagenbefund zu biologischen Einflussfaktoren</w:t>
      </w:r>
    </w:p>
    <w:p>
      <w:r>
        <w:rPr>
          <w:color w:val="5A7D3A"/>
          <w:sz w:val="18"/>
        </w:rPr>
        <w:t>https://pubmed.ncbi.nlm.nih.gov/42271163/</w:t>
      </w:r>
    </w:p>
    <w:p>
      <w:pPr>
        <w:pStyle w:val="Heading2"/>
      </w:pPr>
      <w:r>
        <w:t>Migräne erhöht nach der Menopause das Schlaganfallrisiko</w:t>
      </w:r>
    </w:p>
    <w:p>
      <w:r>
        <w:rPr>
          <w:i/>
          <w:color w:val="666666"/>
          <w:sz w:val="18"/>
        </w:rPr>
        <w:t>Madsen TE et al.  ·  Neurology  ·  14.07.2026  ·  PMID 42247650</w:t>
      </w:r>
    </w:p>
    <w:p>
      <w:r>
        <w:t>Kohortenstudie mit 130.277 postmenopausalen Frauen der Women's Health Initiative über 19,9 Jahre zum Zusammenhang von Migräneanamnese und Schlaganfallrisiko.</w:t>
      </w:r>
    </w:p>
    <w:p>
      <w:r>
        <w:rPr>
          <w:b/>
        </w:rPr>
        <w:t xml:space="preserve">Ergebnis: </w:t>
      </w:r>
      <w:r>
        <w:t>Frauen mit Migräneanamnese hatten 12% höhere Rate für ischämische Schlaganfälle (HR 1,12, 95% KI 1,02–1,23); kein Unterschied bei hämorrhagischen Schlaganfällen oder Gesamtschlaganfällen. Stärkste Assoziation in der Subgruppe cardioembolic stroke (HR 1,17). Risiko variierte nicht signifikant nach Alter.</w:t>
      </w:r>
    </w:p>
    <w:p>
      <w:r>
        <w:rPr>
          <w:b/>
          <w:sz w:val="19"/>
        </w:rPr>
        <w:t xml:space="preserve">Übertragbarkeit: </w:t>
      </w:r>
      <w:r>
        <w:rPr>
          <w:sz w:val="19"/>
        </w:rPr>
        <w:t>USA, aber Frage unabhängig von Zugangshürden; postmenopausale Frauen international vergleichbar</w:t>
      </w:r>
    </w:p>
    <w:p>
      <w:r>
        <w:rPr>
          <w:color w:val="5A7D3A"/>
          <w:sz w:val="18"/>
        </w:rPr>
        <w:t>https://pubmed.ncbi.nlm.nih.gov/42247650/</w:t>
      </w:r>
    </w:p>
    <w:p>
      <w:pPr>
        <w:pStyle w:val="Heading2"/>
      </w:pPr>
      <w:r>
        <w:t>Adrenarche-Hormone schützen nur Jungen vor psychischen Symptomen</w:t>
      </w:r>
    </w:p>
    <w:p>
      <w:r>
        <w:rPr>
          <w:i/>
          <w:color w:val="666666"/>
          <w:sz w:val="18"/>
        </w:rPr>
        <w:t>Weisner FE et al.  ·  Transl Psychiatry  ·  04.06.2026  ·  PMID 42243081</w:t>
      </w:r>
    </w:p>
    <w:p>
      <w:r>
        <w:t>Längsschnittstudie der ABCD-Kohorte (n bis 11.696) prüft, ob DHEA in der Frühadoleszenz sexusspezifische Vorhersagekraft für Externalizing- und Internalizing-Symptome hat.</w:t>
      </w:r>
    </w:p>
    <w:p>
      <w:r>
        <w:rPr>
          <w:b/>
        </w:rPr>
        <w:t xml:space="preserve">Ergebnis: </w:t>
      </w:r>
      <w:r>
        <w:t>Bei Jungen: höheres DHEA mit weniger Externalizing-Symptomen assoziiert (β = –0,07 SD pro SD-Anstieg log-DHEA bei 3-Jahr-Nachverfolgung, 95% KI –0,10 bis –0,04) und geringerem klinischen Externalizing-Threshold (adjustierte RR = 0,81, 95% KI 0,70–0,93). Bei Mädchen: keine Hormon-Symptom-Assoziation. Befund deute auf geschlechtsspezifische hormonelle Verwundbarkeitsfenster in Adoleszenz hin.</w:t>
      </w:r>
    </w:p>
    <w:p>
      <w:r>
        <w:rPr>
          <w:b/>
          <w:sz w:val="19"/>
        </w:rPr>
        <w:t xml:space="preserve">Übertragbarkeit: </w:t>
      </w:r>
      <w:r>
        <w:rPr>
          <w:sz w:val="19"/>
        </w:rPr>
        <w:t>USA, aber biologischer Hormoneffekt grundsätzlich übertragbar; Geschlechtsspezifität klinisch relevant</w:t>
      </w:r>
    </w:p>
    <w:p>
      <w:r>
        <w:rPr>
          <w:color w:val="5A7D3A"/>
          <w:sz w:val="18"/>
        </w:rPr>
        <w:t>https://pubmed.ncbi.nlm.nih.gov/42243081/</w:t>
      </w:r>
    </w:p>
    <w:p>
      <w:pPr>
        <w:pStyle w:val="Heading1"/>
      </w:pPr>
      <w:r>
        <w:t>Aufgenommen am 03.09.2026</w:t>
      </w:r>
    </w:p>
    <w:p>
      <w:pPr>
        <w:pStyle w:val="Heading2"/>
      </w:pPr>
      <w:r>
        <w:t>Menopause bei Trans- und Gender-diversen Menschen: jenseits von Cisgenderismus</w:t>
      </w:r>
    </w:p>
    <w:p>
      <w:r>
        <w:rPr>
          <w:i/>
          <w:color w:val="666666"/>
          <w:sz w:val="18"/>
        </w:rPr>
        <w:t>Drysdale K et al.  ·  Health Promot Int  ·  01.09.2026  ·  PMID 42678722</w:t>
      </w:r>
    </w:p>
    <w:p>
      <w:r>
        <w:t>Qualitative Analyse von 3 Fokusgruppen mit 17 trans-Männern und nonbinären Personen mit Ovarien zu Verständnis, Erfahrung und Versorgungsbedarf bei hormonellen Veränderungen.</w:t>
      </w:r>
    </w:p>
    <w:p>
      <w:r>
        <w:rPr>
          <w:b/>
        </w:rPr>
        <w:t xml:space="preserve">Ergebnis: </w:t>
      </w:r>
      <w:r>
        <w:t>Teilnehmer berichten, dass zeitgenössische Menopausen-Diskurse stark durch cisgendernormative Annahmen geprägt sind; Verständnis von Menopause bei trans-Personen wird durch persönliche und andere Geschlechtsidentität sowie Kontexte der Geschlechtsaffirmation vermittelt. Versorgung muss trans-Personen einbeziehen als Frage der Health Equity, nicht bloßer Inklusion.</w:t>
      </w:r>
    </w:p>
    <w:p>
      <w:r>
        <w:rPr>
          <w:b/>
          <w:sz w:val="19"/>
        </w:rPr>
        <w:t xml:space="preserve">Übertragbarkeit: </w:t>
      </w:r>
      <w:r>
        <w:rPr>
          <w:sz w:val="19"/>
        </w:rPr>
        <w:t>Australien, Fokusgruppen, Versorgungslücke in aktuellen Menopausen-Leitlinien erkannt</w:t>
      </w:r>
    </w:p>
    <w:p>
      <w:r>
        <w:rPr>
          <w:color w:val="5A7D3A"/>
          <w:sz w:val="18"/>
        </w:rPr>
        <w:t>https://pubmed.ncbi.nlm.nih.gov/42678722/</w:t>
      </w:r>
    </w:p>
    <w:p>
      <w:pPr>
        <w:pStyle w:val="Heading2"/>
      </w:pPr>
      <w:r>
        <w:t>Long-Acting-HIV-PrEP: unterschiedliche Akzeptanz zwischen Erfahrenen und Anfängern</w:t>
      </w:r>
    </w:p>
    <w:p>
      <w:r>
        <w:rPr>
          <w:i/>
          <w:color w:val="666666"/>
          <w:sz w:val="18"/>
        </w:rPr>
        <w:t>Blomaard CM et al.  ·  AIDS Care  ·  26.08.2026  ·  PMID 42647163</w:t>
      </w:r>
    </w:p>
    <w:p>
      <w:r>
        <w:t>Querschnittstudie zu Absichten der Nutzung verschiedener long-acting-PrEP-Modalitäten bei 1258 HIV-negativen MSM und trans/gender-diversen Personen in Amsterdam (97,9% MSM).</w:t>
      </w:r>
    </w:p>
    <w:p>
      <w:r>
        <w:rPr>
          <w:b/>
        </w:rPr>
        <w:t xml:space="preserve">Ergebnis: </w:t>
      </w:r>
      <w:r>
        <w:t>Intention zur Nutzung monatlich orale long-acting PrEP (ACS-Kohorte: 38% hohe Intention; Survey: 81%), gefolgt von 2-monatlich intramuskulärer PrEP (ACS: 19%; Survey: 47%) und Implantaten (ACS: 9%; Survey: 37%). PrEP-erfahrene Teilnehmer zeigten höhere Intention für orale und injectable Formen als PrEP-naive. Angebot mehrerer Modalitäten könnte Akzeptanz und Retention verbessern.</w:t>
      </w:r>
    </w:p>
    <w:p>
      <w:r>
        <w:rPr>
          <w:b/>
          <w:sz w:val="19"/>
        </w:rPr>
        <w:t xml:space="preserve">Übertragbarkeit: </w:t>
      </w:r>
      <w:r>
        <w:rPr>
          <w:sz w:val="19"/>
        </w:rPr>
        <w:t>Niederlande, vergleichbares Versicherungssystem, europäische Zugangswege</w:t>
      </w:r>
    </w:p>
    <w:p>
      <w:r>
        <w:rPr>
          <w:color w:val="5A7D3A"/>
          <w:sz w:val="18"/>
        </w:rPr>
        <w:t>https://pubmed.ncbi.nlm.nih.gov/42647163/</w:t>
      </w:r>
    </w:p>
    <w:p>
      <w:pPr>
        <w:pStyle w:val="Heading2"/>
      </w:pPr>
      <w:r>
        <w:t>Frauen brauchen nach Herzoperation länger zur Genesung</w:t>
      </w:r>
    </w:p>
    <w:p>
      <w:r>
        <w:rPr>
          <w:i/>
          <w:color w:val="666666"/>
          <w:sz w:val="18"/>
        </w:rPr>
        <w:t>Zayat R et al.  ·  J Am Heart Assoc  ·  20.08.2026  ·  PMID 42622119</w:t>
      </w:r>
    </w:p>
    <w:p>
      <w:r>
        <w:t>Propensity-Score-Analyse zur Untersuchung von Geschlechtsunterschieden in Komplikationen und Erholung nach hochriskanter Herzchirurgie anhand von 1386 Patienten aus der SUSTAIN-CSX-Studie.</w:t>
      </w:r>
    </w:p>
    <w:p>
      <w:r>
        <w:rPr>
          <w:b/>
        </w:rPr>
        <w:t xml:space="preserve">Ergebnis: </w:t>
      </w:r>
      <w:r>
        <w:t>Frauen zeigten verlängerten Intensivstationsaufenthalt (Median 3 vs. 2 Tage) und längeren Klinikaufenthalt (Median 10 vs. 9 Tage); nach Adjustment war das Risiko für prolongiertes Aufenthalt signifikant erhöht (ICU: IRR 1,8 [95%-KI 1,2–2,9], p=0,009; Klinik: IRR 1,4 [95%-KI 1,0–1,9], p=0,031). Sterblichkeit unterschied sich 180 Tage nicht signifikant. Der längere Genesungsverlauf persisitierte auch nach Kontrolle für Baseline-Unterschiede.</w:t>
      </w:r>
    </w:p>
    <w:p>
      <w:r>
        <w:rPr>
          <w:b/>
          <w:sz w:val="19"/>
        </w:rPr>
        <w:t xml:space="preserve">Übertragbarkeit: </w:t>
      </w:r>
      <w:r>
        <w:rPr>
          <w:sz w:val="19"/>
        </w:rPr>
        <w:t>Deutsche Klinikdaten, vergleichbare Dokumentationspflichten, AWMF-Leitlinien ohne Geschlechtsstratifizierung</w:t>
      </w:r>
    </w:p>
    <w:p>
      <w:r>
        <w:rPr>
          <w:color w:val="5A7D3A"/>
          <w:sz w:val="18"/>
        </w:rPr>
        <w:t>https://pubmed.ncbi.nlm.nih.gov/42622119/</w:t>
      </w:r>
    </w:p>
    <w:p>
      <w:pPr>
        <w:pStyle w:val="Heading2"/>
      </w:pPr>
      <w:r>
        <w:t>Luftverschmutzung wirkt sich auf Männer und Frauen unterschiedlich auf das Herz aus</w:t>
      </w:r>
    </w:p>
    <w:p>
      <w:r>
        <w:rPr>
          <w:i/>
          <w:color w:val="666666"/>
          <w:sz w:val="18"/>
        </w:rPr>
        <w:t>Li Y et al.  ·  Int J Hyg Environ Health  ·  11.06.2026  ·  PMID 42275869</w:t>
      </w:r>
    </w:p>
    <w:p>
      <w:r>
        <w:t>Longitudinale Analyse von 9181 EKGs aus 4143 Teilnehmern der KORA-Kohort zur Untersuchung geschlechtsspezifischer Assoziationen zwischen Langzeit-Luftschadstoffexposition und EKG-Parametern der kardialen Reizleitung und Repolarisation.</w:t>
      </w:r>
    </w:p>
    <w:p>
      <w:r>
        <w:rPr>
          <w:b/>
        </w:rPr>
        <w:t xml:space="preserve">Ergebnis: </w:t>
      </w:r>
      <w:r>
        <w:t>Bei Männern war ein IQR-Anstieg von Feinstaub (PM2,5) und Stickstoffdioxid (NO2) mit einer Verlängerung des JTc-Intervalls von 0,31% (95%-KI 0,10–0,51) bzw. 0,51% (95%-KI 0,28–0,74) assoziiert. Bei Frauen waren Hauptmodell-Schätzungen weniger konsistent; stratifizierte Analysen zeigten stärkere positive Assoziationen in Subgruppen mit Übergewicht, Rauchen und niedriger Bildung. Effekt der Luftverschmutzung auf die Repolarisation ist geschlechtsspezifisch und wird durch soziodemografische Faktoren modifiziert.</w:t>
      </w:r>
    </w:p>
    <w:p>
      <w:r>
        <w:rPr>
          <w:b/>
          <w:sz w:val="19"/>
        </w:rPr>
        <w:t xml:space="preserve">Übertragbarkeit: </w:t>
      </w:r>
      <w:r>
        <w:rPr>
          <w:sz w:val="19"/>
        </w:rPr>
        <w:t>Deutschland, KORA-Kohorte, Umweltbelastung, vergleichbare Datenqualität</w:t>
      </w:r>
    </w:p>
    <w:p>
      <w:r>
        <w:rPr>
          <w:color w:val="5A7D3A"/>
          <w:sz w:val="18"/>
        </w:rPr>
        <w:t>https://pubmed.ncbi.nlm.nih.gov/42275869/</w:t>
      </w:r>
    </w:p>
    <w:p>
      <w:pPr>
        <w:pStyle w:val="Heading2"/>
      </w:pPr>
      <w:r>
        <w:t>Geschlechtsunterschiede in der Genetik von Angststörungen: teilweise unterschiedliche Architektur</w:t>
      </w:r>
    </w:p>
    <w:p>
      <w:r>
        <w:rPr>
          <w:i/>
          <w:color w:val="666666"/>
          <w:sz w:val="18"/>
        </w:rPr>
        <w:t>Hu J et al.  ·  Psychol Med  ·  11.06.2026  ·  PMID 42272362</w:t>
      </w:r>
    </w:p>
    <w:p>
      <w:r>
        <w:t>Erste geschlechtsspezifische Metaanalyse von GWAS für Angststörungen mit UK Biobank und All of Us (85.042 Frauen mit Fällen, 36.732 Männer mit Fällen); funktionelle Annotation und sex-spezifische polygenic scores durchgeführt.</w:t>
      </w:r>
    </w:p>
    <w:p>
      <w:r>
        <w:rPr>
          <w:b/>
        </w:rPr>
        <w:t xml:space="preserve">Ergebnis: </w:t>
      </w:r>
      <w:r>
        <w:t>Bei Frauen waren 21 lead SNPs signifikant mit Angst assoziiert, bei Männern 5. Genetische Korrelation zwischen Geschlechtern war hoch, aber signifikant &lt;1 (p&lt;0,05), was auf teilweise unterschiedliche genetische Architektur hinweist. Heritabilität war bei Frauen signifikant höher. Gen-basierte Tests identifizierten unterschiedliche Gene bei Frauen und Männern; weibliche Angst zeigte stärkere Korrelationen mit ADHS und BMI, männliche mit waist-hip-ratio-adjustiertem BMI. Unterschiedliche genetische Architektur erklärt, warum separate Analysen nötig sind.</w:t>
      </w:r>
    </w:p>
    <w:p>
      <w:r>
        <w:rPr>
          <w:b/>
          <w:sz w:val="19"/>
        </w:rPr>
        <w:t xml:space="preserve">Übertragbarkeit: </w:t>
      </w:r>
      <w:r>
        <w:rPr>
          <w:sz w:val="19"/>
        </w:rPr>
        <w:t>Großbritannien, USA – Datengröße begrenzt auf englischsprachige Biobanken, aber biologische Befunde übertragbar</w:t>
      </w:r>
    </w:p>
    <w:p>
      <w:r>
        <w:rPr>
          <w:color w:val="5A7D3A"/>
          <w:sz w:val="18"/>
        </w:rPr>
        <w:t>https://pubmed.ncbi.nlm.nih.gov/42272362/</w:t>
      </w:r>
    </w:p>
    <w:p>
      <w:pPr>
        <w:pStyle w:val="Heading1"/>
      </w:pPr>
      <w:r>
        <w:t>Aufgenommen am 02.09.2026</w:t>
      </w:r>
    </w:p>
    <w:p>
      <w:pPr>
        <w:pStyle w:val="Heading2"/>
      </w:pPr>
      <w:r>
        <w:t>Glasgow Prognostic Score vor allogener Stammzelltransplantation: Geschlechtsspezifische Risiko-Profile</w:t>
      </w:r>
    </w:p>
    <w:p>
      <w:r>
        <w:rPr>
          <w:i/>
          <w:color w:val="666666"/>
          <w:sz w:val="18"/>
        </w:rPr>
        <w:t>Thurisch H et al.  ·  Front Immunol  ·  17.08.2026  ·  PMID 42676515</w:t>
      </w:r>
    </w:p>
    <w:p>
      <w:r>
        <w:t>Retrospektive Analyse von 442 alloHSCT-Patienten (2012–2017) zur prognostischen Bedeutung des mGPS (modified Glasgow Prognostic Score) vor und früh nach Transplantation mit Fokus auf Geschlechtsunterschiede.</w:t>
      </w:r>
    </w:p>
    <w:p>
      <w:r>
        <w:rPr>
          <w:b/>
        </w:rPr>
        <w:t xml:space="preserve">Ergebnis: </w:t>
      </w:r>
      <w:r>
        <w:t>Patienten mit mGPS 2 präTx hatten schlechteres Gesamtüberleben (HR 2,32, p&lt;0,0001) und höhere non-relapse mortality (NRM; HR 2,31, p=0,002). Dynamische Änderungen (Δ30mGPS) zeigten stärkere Prognose-Signale (OS: HR 2,85, p=0,02; NRM: HR 3,99, p=0,05). Geschlechtsspezifische Analysen offenbarten unterschiedliche Risiko-Muster. mGPS war in multivariabeler Analyse unabhängiger Prognosefaktor. Die zugrundeliegenden biologischen oder therapeutischen Mechanismen der Geschlechtsunterschiede werden nicht analysiert.</w:t>
      </w:r>
    </w:p>
    <w:p>
      <w:r>
        <w:rPr>
          <w:b/>
          <w:sz w:val="19"/>
        </w:rPr>
        <w:t xml:space="preserve">Übertragbarkeit: </w:t>
      </w:r>
      <w:r>
        <w:rPr>
          <w:sz w:val="19"/>
        </w:rPr>
        <w:t>Deutschland beteiligt (Köln, München), europäische Routinedaten vergleichbar</w:t>
      </w:r>
    </w:p>
    <w:p>
      <w:r>
        <w:rPr>
          <w:color w:val="5A7D3A"/>
          <w:sz w:val="18"/>
        </w:rPr>
        <w:t>https://pubmed.ncbi.nlm.nih.gov/42676515/</w:t>
      </w:r>
    </w:p>
    <w:p>
      <w:pPr>
        <w:pStyle w:val="Heading2"/>
      </w:pPr>
      <w:r>
        <w:t>Pflegepraktikanten: Patienten bevorzugen Frauen, beeinträchtigt durch Empathie-Stereotype</w:t>
      </w:r>
    </w:p>
    <w:p>
      <w:r>
        <w:rPr>
          <w:i/>
          <w:color w:val="666666"/>
          <w:sz w:val="18"/>
        </w:rPr>
        <w:t>Liao JJ et al.  ·  Medicine (Baltimore)  ·  28.08.2026  ·  PMID 42675775</w:t>
      </w:r>
    </w:p>
    <w:p>
      <w:r>
        <w:t>Querschnittstudie mit 460 stationären Patienten in Guangdong/Guangxi zu Geschlechtsstereotypen, Patientenzufriedenheit und Bereitschaft, von männlichen oder weiblichen Pflegepraktikanten versorgt zu werden.</w:t>
      </w:r>
    </w:p>
    <w:p>
      <w:r>
        <w:rPr>
          <w:b/>
        </w:rPr>
        <w:t xml:space="preserve">Ergebnis: </w:t>
      </w:r>
      <w:r>
        <w:t>Patienten zeigten moderate bis hohe Bereitschaft, beide Geschlechter zu akzeptieren (Männer M=3,65, Frauen M=4,10, mit höherer Bereitschaft für Frauen; t=8,53, p&lt;0,001). Patientenzufriedenheit korrelierte positiv (r&gt;0,40, p&lt;0,001) mit Akzeptanz männlicher Praktikanten, während das Stereotyp 'Empathie ist weiblich' negativ korrelierte (r=-0,40, p&lt;0,001). Multiple lineare Regression identifizierte Zufriedenheit (β=0,35), Stereotyp (β=-0,29), urbaner Hintergrund (β=0,16) und Bildung (β=0,13) als Prädiktoren (32,7 % erklärte Varianz). Männliche, städtische, höher gebildete Patienten zeigten höhere Akzeptanz. Unterschied erklärt durch Zuschreibung durch Patienten, nicht durch biologische oder Zugangs-Faktoren.</w:t>
      </w:r>
    </w:p>
    <w:p>
      <w:r>
        <w:rPr>
          <w:b/>
          <w:sz w:val="19"/>
        </w:rPr>
        <w:t xml:space="preserve">Übertragbarkeit: </w:t>
      </w:r>
      <w:r>
        <w:rPr>
          <w:sz w:val="19"/>
        </w:rPr>
        <w:t>China - Übertragbarkeit gering, aber Stereotyp-Effekt ist versorgungsrelevant und kulturübergreifend</w:t>
      </w:r>
    </w:p>
    <w:p>
      <w:r>
        <w:rPr>
          <w:color w:val="5A7D3A"/>
          <w:sz w:val="18"/>
        </w:rPr>
        <w:t>https://pubmed.ncbi.nlm.nih.gov/42675775/</w:t>
      </w:r>
    </w:p>
    <w:p>
      <w:pPr>
        <w:pStyle w:val="Heading2"/>
      </w:pPr>
      <w:r>
        <w:t>Blutdruck in 24-Stunden-Messung: Frauen haben niedrigere Werte als Männer</w:t>
      </w:r>
    </w:p>
    <w:p>
      <w:r>
        <w:rPr>
          <w:i/>
          <w:color w:val="666666"/>
          <w:sz w:val="18"/>
        </w:rPr>
        <w:t>Atmaca H et al.  ·  Medicine (Baltimore)  ·  28.08.2026  ·  PMID 42675704</w:t>
      </w:r>
    </w:p>
    <w:p>
      <w:r>
        <w:t>Retrospektive Querschnittstudie von 1204 Patienten zu Geschlechtsspezifischen Unterschieden in Blutdruckwerten bei 24-Stunden-Messung.</w:t>
      </w:r>
    </w:p>
    <w:p>
      <w:r>
        <w:rPr>
          <w:b/>
        </w:rPr>
        <w:t xml:space="preserve">Ergebnis: </w:t>
      </w:r>
      <w:r>
        <w:t>Sowohl systolisch als auch diastolisch waren die Blutdruckwerte bei Frauen signifikant niedriger als bei Männern (exakte Zahlen im Abstract nicht genannt). Dies galt für die Gesamtpopulation und separat für Patienten mit und ohne frühere Hypertonie-Diagnose. Die genauen Mechanismen bleiben unklar; der Unterschied unterstreicht die Notwendigkeit geschlechtsspezifischer diagnostischer Schwellen.</w:t>
      </w:r>
    </w:p>
    <w:p>
      <w:r>
        <w:rPr>
          <w:b/>
          <w:sz w:val="19"/>
        </w:rPr>
        <w:t xml:space="preserve">Übertragbarkeit: </w:t>
      </w:r>
      <w:r>
        <w:rPr>
          <w:sz w:val="19"/>
        </w:rPr>
        <w:t>Türkei - Übertragbarkeit gering, grundlegend anderes Gesundheitssystem</w:t>
      </w:r>
    </w:p>
    <w:p>
      <w:r>
        <w:rPr>
          <w:color w:val="5A7D3A"/>
          <w:sz w:val="18"/>
        </w:rPr>
        <w:t>https://pubmed.ncbi.nlm.nih.gov/42675704/</w:t>
      </w:r>
    </w:p>
    <w:p>
      <w:pPr>
        <w:pStyle w:val="Heading2"/>
      </w:pPr>
      <w:r>
        <w:t>Wohnort im US-Stroke-Belt und kognitiver Verfall bei Frauen</w:t>
      </w:r>
    </w:p>
    <w:p>
      <w:r>
        <w:rPr>
          <w:i/>
          <w:color w:val="666666"/>
          <w:sz w:val="18"/>
        </w:rPr>
        <w:t>von Alvensleben AC et al.  ·  BMC Neurol  ·  17.08.2026  ·  PMID 42675461</w:t>
      </w:r>
    </w:p>
    <w:p>
      <w:r>
        <w:t>Kohortenstudie der Women's Health Study mit 6.362 Frauen ≥65 Jahren zu Assoziationen zwischen Wohnort im US-Stroke-Belt und kognitivem Verfall über wiederholte Tests.</w:t>
      </w:r>
    </w:p>
    <w:p>
      <w:r>
        <w:rPr>
          <w:b/>
        </w:rPr>
        <w:t xml:space="preserve">Ergebnis: </w:t>
      </w:r>
      <w:r>
        <w:t>Frauen im Stroke-Belt (17,8 %) unterschieden sich nicht signifikant in der Geschwindigkeit des kognitiven Verfalls (β=-0,03, SE=0,02, p=0,233). Sekundäranalysen zeigten jedoch höhere Wahrscheinlichkeit für stärkeren Verfall (quintiles und deciles): OR 1,20 (95 % KI 1,00–1,42) für Quintil 1; OR 1,43 (95 % KI 1,14–1,78) für Dezil 1. Das bedeutet: geographisch bedingte Unterschiede in kognitiven Outcomes möglich, aber primär nicht auf Schlaganfall-Risiko beschränkt.</w:t>
      </w:r>
    </w:p>
    <w:p>
      <w:r>
        <w:rPr>
          <w:b/>
          <w:sz w:val="19"/>
        </w:rPr>
        <w:t xml:space="preserve">Übertragbarkeit: </w:t>
      </w:r>
      <w:r>
        <w:rPr>
          <w:sz w:val="19"/>
        </w:rPr>
        <w:t>USA - Übertragbarkeit gering, grundlegend anderes Gesundheitssystem; nur die Nachweismethode ist relevant</w:t>
      </w:r>
    </w:p>
    <w:p>
      <w:r>
        <w:rPr>
          <w:color w:val="5A7D3A"/>
          <w:sz w:val="18"/>
        </w:rPr>
        <w:t>https://pubmed.ncbi.nlm.nih.gov/42675461/</w:t>
      </w:r>
    </w:p>
    <w:p>
      <w:pPr>
        <w:pStyle w:val="Heading2"/>
      </w:pPr>
      <w:r>
        <w:t>Marathon: Männer 'treffen die Wand' doppelt so häufig wie Frauen</w:t>
      </w:r>
    </w:p>
    <w:p>
      <w:r>
        <w:rPr>
          <w:i/>
          <w:color w:val="666666"/>
          <w:sz w:val="18"/>
        </w:rPr>
        <w:t>Seffrin A et al.  ·  Sci Rep  ·  02.07.2026  ·  PMID 42393156</w:t>
      </w:r>
    </w:p>
    <w:p>
      <w:r>
        <w:t>Analyse von 873.334 Berlin-Marathon-Finishern (1999–2025) zu Geschlechtsunterschieden in Pacing-Stabilität und Dezeleration im zweiten Streckenabschnitt.</w:t>
      </w:r>
    </w:p>
    <w:p>
      <w:r>
        <w:rPr>
          <w:b/>
        </w:rPr>
        <w:t xml:space="preserve">Ergebnis: </w:t>
      </w:r>
      <w:r>
        <w:t>Männer zeigten signifikant höhere mittlere Dezeleration (10,73 % ± 11,41 %) als Frauen (8,34 % ± 8,91 %, p&lt;0,001). 'Hitting the wall' (≥20 % Dezeleration) war bei Männern fast doppelt so häufig (17,63 %) wie bei Frauen (9,66 %; OR 2,00, 95 % KI 1,97–2,03; bereinigt OR 3,88, 95 % KI 3,81–3,94). Bei schnellsten Läufern (&lt;3 h) waren Männer etwa 6-mal häufiger betroffen (1,42 % vs. 0,23 %). Verhältnis über 27 Jahre stabil. Befund deutet auf behaviorale und strategische Faktoren neben Physiologie hin.</w:t>
      </w:r>
    </w:p>
    <w:p>
      <w:r>
        <w:rPr>
          <w:b/>
          <w:sz w:val="19"/>
        </w:rPr>
        <w:t xml:space="preserve">Übertragbarkeit: </w:t>
      </w:r>
      <w:r>
        <w:rPr>
          <w:sz w:val="19"/>
        </w:rPr>
        <w:t>Deutschland - Berlin Marathon ist Datenquelle, Pacing-Strategien kulturübergreifend vergleichbar</w:t>
      </w:r>
    </w:p>
    <w:p>
      <w:r>
        <w:rPr>
          <w:color w:val="5A7D3A"/>
          <w:sz w:val="18"/>
        </w:rPr>
        <w:t>https://pubmed.ncbi.nlm.nih.gov/42393156/</w:t>
      </w:r>
    </w:p>
    <w:p>
      <w:pPr>
        <w:pStyle w:val="Heading2"/>
      </w:pPr>
      <w:r>
        <w:t>Nitric-Oxide-Metaboliten bei HFpEF: Geschlechtsspezifische Unterschiede minimal</w:t>
      </w:r>
    </w:p>
    <w:p>
      <w:r>
        <w:rPr>
          <w:i/>
          <w:color w:val="666666"/>
          <w:sz w:val="18"/>
        </w:rPr>
        <w:t>Dinges SM et al.  ·  Biol Sex Differ  ·  15.06.2026  ·  PMID 42298662</w:t>
      </w:r>
    </w:p>
    <w:p>
      <w:r>
        <w:t>Querschnittstudie zu Geschlechtsunterschieden in Nitric-Oxide-bezogenen Metaboliten bei Herzinsuffizienz mit erhaltener Ejektionsfraktion, mit geschlechtsstratifizierter Analyse.</w:t>
      </w:r>
    </w:p>
    <w:p>
      <w:r>
        <w:rPr>
          <w:b/>
        </w:rPr>
        <w:t xml:space="preserve">Ergebnis: </w:t>
      </w:r>
      <w:r>
        <w:t>SDMA-Konzentrationen waren bei Männern signifikant höher als bei Frauen (β=-0,11 [-0,20 bis -0,03] µmol/L, p=0,010), in 5 von 6 Modellen konsistent. Homoarginin war bei Frauen niedriger, aber dieser Unterschied verschwand nach multivariabeler Anpassung. Substanzielle Überlappung der metabolischen Profile zwischen Männern und Frauen, kein klares Muster endothelialer Dysfunktion nach Geschlecht.</w:t>
      </w:r>
    </w:p>
    <w:p>
      <w:r>
        <w:rPr>
          <w:b/>
          <w:sz w:val="19"/>
        </w:rPr>
        <w:t xml:space="preserve">Übertragbarkeit: </w:t>
      </w:r>
      <w:r>
        <w:rPr>
          <w:sz w:val="19"/>
        </w:rPr>
        <w:t>Deutschland beteiligt (München, Hamburg, Berlin), deutsches Versicherungssystem vergleichbar</w:t>
      </w:r>
    </w:p>
    <w:p>
      <w:r>
        <w:rPr>
          <w:color w:val="5A7D3A"/>
          <w:sz w:val="18"/>
        </w:rPr>
        <w:t>https://pubmed.ncbi.nlm.nih.gov/42298662/</w:t>
      </w:r>
    </w:p>
    <w:p>
      <w:pPr>
        <w:pStyle w:val="Heading2"/>
      </w:pPr>
      <w:r>
        <w:t>Secukinumab bei Psoriasisarthritis: Männliches Geschlecht vorhersagt besseres Ansprechen</w:t>
      </w:r>
    </w:p>
    <w:p>
      <w:r>
        <w:rPr>
          <w:i/>
          <w:color w:val="666666"/>
          <w:sz w:val="18"/>
        </w:rPr>
        <w:t>Heberg J et al.  ·  J Rheumatol  ·  01.09.2026  ·  PMID 42297436</w:t>
      </w:r>
    </w:p>
    <w:p>
      <w:r>
        <w:t>Europäische Register-Studie zur Vorhersage von Secukinumab-Wirksamkeit bei Psoriasisarthritis, mit Analyse geschlechtsspezifischer Prädiktoren.</w:t>
      </w:r>
    </w:p>
    <w:p>
      <w:r>
        <w:rPr>
          <w:b/>
        </w:rPr>
        <w:t xml:space="preserve">Ergebnis: </w:t>
      </w:r>
      <w:r>
        <w:t>Männliches Geschlecht, weniger vorgangige b/tsDMARDs und CRP &gt;10 mg/L sagten DAPSA28-Niedrigaktivität voraus (multivariable Analyse). Für Frauen waren weniger vorgangige b/tsDMARDs, CRP &gt;10 mg/L und niedrigere Müdigkeit prädiktiv. Das männliche Geschlecht war insgesamt mit besserer Remission assoziiert, die Mechanismen (Biologie vs. Zugang vs. Behandlungsprotokoll) werden nicht spezifiziert.</w:t>
      </w:r>
    </w:p>
    <w:p>
      <w:r>
        <w:rPr>
          <w:b/>
          <w:sz w:val="19"/>
        </w:rPr>
        <w:t xml:space="preserve">Übertragbarkeit: </w:t>
      </w:r>
      <w:r>
        <w:rPr>
          <w:sz w:val="19"/>
        </w:rPr>
        <w:t>Europäische Routinedaten, vergleichbare Versorgung und AWMF-Leitlinie existiert</w:t>
      </w:r>
    </w:p>
    <w:p>
      <w:r>
        <w:rPr>
          <w:color w:val="5A7D3A"/>
          <w:sz w:val="18"/>
        </w:rPr>
        <w:t>https://pubmed.ncbi.nlm.nih.gov/42297436/</w:t>
      </w:r>
    </w:p>
    <w:p>
      <w:pPr>
        <w:pStyle w:val="Heading1"/>
      </w:pPr>
      <w:r>
        <w:t>Aufgenommen am 01.09.2026</w:t>
      </w:r>
    </w:p>
    <w:p>
      <w:pPr>
        <w:pStyle w:val="Heading2"/>
      </w:pPr>
      <w:r>
        <w:t>Psychische Belastung im Alter: Frauen berichten mehr Angst, PHQ-4-Normwerte für Deutschland</w:t>
      </w:r>
    </w:p>
    <w:p>
      <w:r>
        <w:rPr>
          <w:i/>
          <w:color w:val="666666"/>
          <w:sz w:val="18"/>
        </w:rPr>
        <w:t>Dimitrov N et al.  ·  BMC Geriatr  ·  28.08.2026  ·  PMID 42668360</w:t>
      </w:r>
    </w:p>
    <w:p>
      <w:r>
        <w:t>Deutsche Bevölkerungsumfrage (N=3.208, 60+ Jahre) mit alters- und geschlechtsspezifischen Normwerten für das PHQ-4-Screening auf Angst und Depression.</w:t>
      </w:r>
    </w:p>
    <w:p>
      <w:r>
        <w:rPr>
          <w:b/>
        </w:rPr>
        <w:t xml:space="preserve">Ergebnis: </w:t>
      </w:r>
      <w:r>
        <w:t>Frauen berichteten signifikant höhere Gesamtbelastung als Männer, primär durch höhere Angstsymptome. PHQ-4-Werte am höchsten in der ältesten Altersgruppe. Messäquivalenz über Geschlecht und Altersgruppen bestätigt. Normwerte stratifiziert nach Alter und Geschlecht bereitgestellt.</w:t>
      </w:r>
    </w:p>
    <w:p>
      <w:r>
        <w:rPr>
          <w:b/>
          <w:sz w:val="19"/>
        </w:rPr>
        <w:t xml:space="preserve">Übertragbarkeit: </w:t>
      </w:r>
      <w:r>
        <w:rPr>
          <w:sz w:val="19"/>
        </w:rPr>
        <w:t>Deutschland, Face-to-Face-Haushaltsbefragung, direkt applicable als Referenzdaten für deutsche Praxen</w:t>
      </w:r>
    </w:p>
    <w:p>
      <w:r>
        <w:rPr>
          <w:color w:val="5A7D3A"/>
          <w:sz w:val="18"/>
        </w:rPr>
        <w:t>https://pubmed.ncbi.nlm.nih.gov/42668360/</w:t>
      </w:r>
    </w:p>
    <w:p>
      <w:pPr>
        <w:pStyle w:val="Heading2"/>
      </w:pPr>
      <w:r>
        <w:t>Menopause-Versorgung in Europa: Implementierungsrahmen für digitale Prä-zision</w:t>
      </w:r>
    </w:p>
    <w:p>
      <w:r>
        <w:rPr>
          <w:i/>
          <w:color w:val="666666"/>
          <w:sz w:val="18"/>
        </w:rPr>
        <w:t>Stute P et al.  ·  Maturitas  ·  20.07.2026  ·  PMID 42531734</w:t>
      </w:r>
    </w:p>
    <w:p>
      <w:r>
        <w:t>Europäische Fachgesellschaft skizziert Leitlinien für integrierte Menopausver-sorgung mit Risk Stratification, digitalen Tools und gestufter Versorgungsarchitektur.</w:t>
      </w:r>
    </w:p>
    <w:p>
      <w:r>
        <w:rPr>
          <w:b/>
        </w:rPr>
        <w:t xml:space="preserve">Ergebnis: </w:t>
      </w:r>
      <w:r>
        <w:t>Stellung der European Menopause and Andropause Society: Architektur mit vier Ebenen (digital access, trained professionals, specialist centres, governance). Aktionsempfehlungen für Kliniker, Systeme, Berufsverbände, Arbeitgeber zu Schulung, Qualitäts-standards, Algorithmen-governance und Equity-Monitoring.</w:t>
      </w:r>
    </w:p>
    <w:p>
      <w:r>
        <w:rPr>
          <w:b/>
          <w:sz w:val="19"/>
        </w:rPr>
        <w:t xml:space="preserve">Übertragbarkeit: </w:t>
      </w:r>
      <w:r>
        <w:rPr>
          <w:sz w:val="19"/>
        </w:rPr>
        <w:t>Schweiz/Europa, vergleichbare Systeme, Transfer auf deutschsprachigen Raum offen</w:t>
      </w:r>
    </w:p>
    <w:p>
      <w:r>
        <w:rPr>
          <w:color w:val="5A7D3A"/>
          <w:sz w:val="18"/>
        </w:rPr>
        <w:t>https://pubmed.ncbi.nlm.nih.gov/42531734/</w:t>
      </w:r>
    </w:p>
    <w:p>
      <w:pPr>
        <w:pStyle w:val="Heading2"/>
      </w:pPr>
      <w:r>
        <w:t>Kopfschmerz und Rückenschmerz im Alter: Frauen leiden stärker, regionale Unterschiede entlang der Seidenstraße</w:t>
      </w:r>
    </w:p>
    <w:p>
      <w:r>
        <w:rPr>
          <w:i/>
          <w:color w:val="666666"/>
          <w:sz w:val="18"/>
        </w:rPr>
        <w:t>Liu J et al.  ·  Inquiry  ·  18.07.2026  ·  PMID 42470618</w:t>
      </w:r>
    </w:p>
    <w:p>
      <w:r>
        <w:t>Global Burden of Disease-Analyse (1990-2023) zu geschlechtsstratifizierten Inzidenz-, Prävalenz- und Disabilityraten für geriatrische Schmerzen in Asien und Europa.</w:t>
      </w:r>
    </w:p>
    <w:p>
      <w:r>
        <w:rPr>
          <w:b/>
        </w:rPr>
        <w:t xml:space="preserve">Ergebnis: </w:t>
      </w:r>
      <w:r>
        <w:t>2023: Kopfschmerz-ASIR höchst in Osteuropa (12.290/100.000), niedrig in Ostasien (7.746/100.000); Rückenschmerz höchst in Mitteleuropa (5.130/100.000). Frauen durchweg höhere Schmerzenbelastung als Männer, stärkste Unterschiede im Nahen Osten/Nordafrika. Trends divergent: Rückenschmerz in Ostasien sank (−23,37 % ASIR), Kopfschmerz stieg (+5,68 %). Gesundheitsungleichheit konzentriert sich regional unterschiedlich nach Entwicklungsgrad (SDI-Effekt).</w:t>
      </w:r>
    </w:p>
    <w:p>
      <w:r>
        <w:rPr>
          <w:b/>
          <w:sz w:val="19"/>
        </w:rPr>
        <w:t xml:space="preserve">Übertragbarkeit: </w:t>
      </w:r>
      <w:r>
        <w:rPr>
          <w:sz w:val="19"/>
        </w:rPr>
        <w:t>GBD-Modelloutputs, nicht primäre Beobachtungsdaten; regional aggregiert, aber Geschlechtsstratifizierung valide</w:t>
      </w:r>
    </w:p>
    <w:p>
      <w:r>
        <w:rPr>
          <w:color w:val="5A7D3A"/>
          <w:sz w:val="18"/>
        </w:rPr>
        <w:t>https://pubmed.ncbi.nlm.nih.gov/42470618/</w:t>
      </w:r>
    </w:p>
    <w:p>
      <w:pPr>
        <w:pStyle w:val="Heading2"/>
      </w:pPr>
      <w:r>
        <w:t>Selbsteinschätzung in der Medizinerausbildung: Frauen unterschätzen sich um 3–6 Prozentpunkte</w:t>
      </w:r>
    </w:p>
    <w:p>
      <w:r>
        <w:rPr>
          <w:i/>
          <w:color w:val="666666"/>
          <w:sz w:val="18"/>
        </w:rPr>
        <w:t>Handke L et al.  ·  JMIR Med Educ  ·  17.07.2026  ·  PMID 42467405</w:t>
      </w:r>
    </w:p>
    <w:p>
      <w:r>
        <w:t>Längsschnittstudie an deutschem medizinischem Lehrgang (N=165, 3 Kohorten, Apr 2023–Apr 2024) zur Geschlechtsstratifizierung der Genauigkeit von Selbsteinschätzung.</w:t>
      </w:r>
    </w:p>
    <w:p>
      <w:r>
        <w:rPr>
          <w:b/>
        </w:rPr>
        <w:t xml:space="preserve">Ergebnis: </w:t>
      </w:r>
      <w:r>
        <w:t>Frauen bewerteten sich signifikant weniger akkurat als Männer (alle p-Werte 0,001–0,01, adjustiert für akademische Fortschritte und Wissenstand). Geschlechtereffekt: −3,74 bis −6,08 Prozentpunkte, Größenordnung vergleichbar mit einem Semester Wissenserwerb. Unterschied persistiert über alle Modelle.</w:t>
      </w:r>
    </w:p>
    <w:p>
      <w:r>
        <w:rPr>
          <w:b/>
          <w:sz w:val="19"/>
        </w:rPr>
        <w:t xml:space="preserve">Übertragbarkeit: </w:t>
      </w:r>
      <w:r>
        <w:rPr>
          <w:sz w:val="19"/>
        </w:rPr>
        <w:t>Deutschland, Medical School OWL (Bielefeld), direkt auf deutsche Medizinerausbildung übertragbar</w:t>
      </w:r>
    </w:p>
    <w:p>
      <w:r>
        <w:rPr>
          <w:color w:val="5A7D3A"/>
          <w:sz w:val="18"/>
        </w:rPr>
        <w:t>https://pubmed.ncbi.nlm.nih.gov/42467405/</w:t>
      </w:r>
    </w:p>
    <w:p>
      <w:pPr>
        <w:pStyle w:val="Heading2"/>
      </w:pPr>
      <w:r>
        <w:t>Glücksspiel bei Jugendlichen: Jungen spielen deutlich mehr On-Site und Online</w:t>
      </w:r>
    </w:p>
    <w:p>
      <w:r>
        <w:rPr>
          <w:i/>
          <w:color w:val="666666"/>
          <w:sz w:val="18"/>
        </w:rPr>
        <w:t>Castrén S et al.  ·  Int J Environ Res Public Health  ·  03.06.2026  ·  PMID 42354284</w:t>
      </w:r>
    </w:p>
    <w:p>
      <w:r>
        <w:t>Finnische ESPAD-Daten von 3.294 Schülern zur Geschlechtsstratifizierung von Glücksspiel-Verhalten und assoziierten Risikofaktoren.</w:t>
      </w:r>
    </w:p>
    <w:p>
      <w:r>
        <w:rPr>
          <w:b/>
        </w:rPr>
        <w:t xml:space="preserve">Ergebnis: </w:t>
      </w:r>
      <w:r>
        <w:t>On-Site-Glücksspiel in den letzten 12 Monaten: 7 % der Jungen vs. 0-2 % der Mädchen; Online: 3 % vs. 0-2 %; beide: 11 % vs. 0-2 %. Mehrere Assoziationen mit Online-Glücksspiel unterschieden sich nach Geschlecht. Schulschwänzen, Freizeitkontext, riskantes Sexualverhalten, problematische Substanznutzung und problematische Social-Media-Nutzung erhöhten Odds beider Glücksspieltypen.</w:t>
      </w:r>
    </w:p>
    <w:p>
      <w:r>
        <w:rPr>
          <w:b/>
          <w:sz w:val="19"/>
        </w:rPr>
        <w:t xml:space="preserve">Übertragbarkeit: </w:t>
      </w:r>
      <w:r>
        <w:rPr>
          <w:sz w:val="19"/>
        </w:rPr>
        <w:t>Finnland/Nord­europa, Schulsurvey ESPAD, Daten vergleichbar mit Deutschland über internationale Studien</w:t>
      </w:r>
    </w:p>
    <w:p>
      <w:r>
        <w:rPr>
          <w:color w:val="5A7D3A"/>
          <w:sz w:val="18"/>
        </w:rPr>
        <w:t>https://pubmed.ncbi.nlm.nih.gov/42354284/</w:t>
      </w:r>
    </w:p>
    <w:p>
      <w:pPr>
        <w:pStyle w:val="Heading2"/>
      </w:pPr>
      <w:r>
        <w:t>CYP2C19-Metabolismus bei Psychopharmaka: Frauen bauen Escitalopram schneller ab</w:t>
      </w:r>
    </w:p>
    <w:p>
      <w:r>
        <w:rPr>
          <w:i/>
          <w:color w:val="666666"/>
          <w:sz w:val="18"/>
        </w:rPr>
        <w:t>Eiberger J et al.  ·  Genes (Basel)  ·  21.06.2026  ·  PMID 42353876</w:t>
      </w:r>
    </w:p>
    <w:p>
      <w:r>
        <w:t>Therapeutisches Drug Monitoring bei 51 Patienten mit Escitalopram zeigt Geschlechtsdifferenzen in CYP2C19-abhängiger Metabolisierung.</w:t>
      </w:r>
    </w:p>
    <w:p>
      <w:r>
        <w:rPr>
          <w:b/>
        </w:rPr>
        <w:t xml:space="preserve">Ergebnis: </w:t>
      </w:r>
      <w:r>
        <w:t>Bei CYP2C19-Normalmetabolisierern signifikant höhere dosierungskorrigierte Serumkonzen-trationen bei Männern vs. Frauen (geschätztes Randmittel; p &lt; 0,05). Interpretation: Frauen mit CYP2C19-Normalmetabolismus zeigen schnellere/höhere Clearance. Befund explorativ, Stichprobe klein, Hypothese-generierend.</w:t>
      </w:r>
    </w:p>
    <w:p>
      <w:r>
        <w:rPr>
          <w:b/>
          <w:sz w:val="19"/>
        </w:rPr>
        <w:t xml:space="preserve">Übertragbarkeit: </w:t>
      </w:r>
      <w:r>
        <w:rPr>
          <w:sz w:val="19"/>
        </w:rPr>
        <w:t>Deutschland, psychiatrische Routinepraxis mit TDM, biologischer Befund potenziell universal aber Dosierungsempfehlungen kontextabhängig</w:t>
      </w:r>
    </w:p>
    <w:p>
      <w:r>
        <w:rPr>
          <w:color w:val="5A7D3A"/>
          <w:sz w:val="18"/>
        </w:rPr>
        <w:t>https://pubmed.ncbi.nlm.nih.gov/42353876/</w:t>
      </w:r>
    </w:p>
    <w:p>
      <w:pPr>
        <w:pStyle w:val="Heading2"/>
      </w:pPr>
      <w:r>
        <w:t>Herzklappenchirurgie bei Endokarditis: Frauen erleben weniger Mortalität als Männer</w:t>
      </w:r>
    </w:p>
    <w:p>
      <w:r>
        <w:rPr>
          <w:i/>
          <w:color w:val="666666"/>
          <w:sz w:val="18"/>
        </w:rPr>
        <w:t>Bearpark L et al.  ·  J Am Heart Assoc  ·  16.06.2026  ·  PMID 42294753</w:t>
      </w:r>
    </w:p>
    <w:p>
      <w:r>
        <w:t>Schwedische Kohortenstudie mit Routinedaten zu Geschlechtsunterschieden und Überleben nach Aortenklappenersatz bei infektiöser Endokarditis.</w:t>
      </w:r>
    </w:p>
    <w:p>
      <w:r>
        <w:rPr>
          <w:b/>
        </w:rPr>
        <w:t xml:space="preserve">Ergebnis: </w:t>
      </w:r>
      <w:r>
        <w:t>Von 2.585 Patient*innen 19 % Frauen (älter, mehr Komorbiditäten, niedrigerer SES). Nach 7 Jahren: 49 % der Frauen vs. 41 % der Männer verstorben. Nach Standardisierung für Baselinefaktoren höheres Nettoüberleben bei Frauen; Lebenszeitverlust besonders in jüngeren Alter (15,5 Jahre bei 50-Jähriger Frau vs. 2,1 Jahre bei 80-Jährigem Mann).</w:t>
      </w:r>
    </w:p>
    <w:p>
      <w:r>
        <w:rPr>
          <w:b/>
          <w:sz w:val="19"/>
        </w:rPr>
        <w:t xml:space="preserve">Übertragbarkeit: </w:t>
      </w:r>
      <w:r>
        <w:rPr>
          <w:sz w:val="19"/>
        </w:rPr>
        <w:t>Schweden/Skandinavien, Populationsregister, Lebenszeitanalyse methodisch übertragbar</w:t>
      </w:r>
    </w:p>
    <w:p>
      <w:r>
        <w:rPr>
          <w:color w:val="5A7D3A"/>
          <w:sz w:val="18"/>
        </w:rPr>
        <w:t>https://pubmed.ncbi.nlm.nih.gov/42294753/</w:t>
      </w:r>
    </w:p>
    <w:p>
      <w:pPr>
        <w:pStyle w:val="Heading1"/>
      </w:pPr>
      <w:r>
        <w:t>Aufgenommen am 31.08.2026</w:t>
      </w:r>
    </w:p>
    <w:p>
      <w:pPr>
        <w:pStyle w:val="Heading2"/>
      </w:pPr>
      <w:r>
        <w:t>Prekonzeptionelle Vorsorge bei jungen Erwachsenen: Männer sind weniger bewusst und vorbereitet</w:t>
      </w:r>
    </w:p>
    <w:p>
      <w:r>
        <w:rPr>
          <w:i/>
          <w:color w:val="666666"/>
          <w:sz w:val="18"/>
        </w:rPr>
        <w:t>Cho I et al.  ·  Front Public Health  ·  13.08.2026  ·  PMID 42661787</w:t>
      </w:r>
    </w:p>
    <w:p>
      <w:r>
        <w:t>Eine südkoreanische Querschnittsstudie (n=929, Alter 18–25) untersuchte mit dem Precaution Adoption Process Model, in welchem Bewusstseinsstadium junge Erwachsene hinsichtlich prekonzeptioneller Gesundheit stehen und welche Faktoren damit verbunden sind.</w:t>
      </w:r>
    </w:p>
    <w:p>
      <w:r>
        <w:rPr>
          <w:b/>
        </w:rPr>
        <w:t xml:space="preserve">Ergebnis: </w:t>
      </w:r>
      <w:r>
        <w:t>Männer waren überrepräsentiert in der ‚Unbewusst'-Gruppe (sexuelle Unerfahrenheit, inkonsistente Verhütung, keine Geburtsabsicht). Die Gruppe ‚Noch-nicht-adoptierend' war durch sexuelle Unerfahrenheit und niedrigere Gesundheitswahrnehmung charakterisiert. Geschlechtergetroffenheit bei Familienplanung hängt mit Bewusstsein und Verhütungswissen zusammen – strukturierbar durch Gesundheitskommunikation.</w:t>
      </w:r>
    </w:p>
    <w:p>
      <w:r>
        <w:rPr>
          <w:b/>
          <w:sz w:val="19"/>
        </w:rPr>
        <w:t xml:space="preserve">Übertragbarkeit: </w:t>
      </w:r>
      <w:r>
        <w:rPr>
          <w:sz w:val="19"/>
        </w:rPr>
        <w:t>Südkorea; ähnliche Gesundheitsanliegen bei gleichzeitig anderem Sozialkontext</w:t>
      </w:r>
    </w:p>
    <w:p>
      <w:r>
        <w:rPr>
          <w:color w:val="5A7D3A"/>
          <w:sz w:val="18"/>
        </w:rPr>
        <w:t>https://pubmed.ncbi.nlm.nih.gov/42661787/</w:t>
      </w:r>
    </w:p>
    <w:p>
      <w:pPr>
        <w:pStyle w:val="Heading2"/>
      </w:pPr>
      <w:r>
        <w:t>Bergbau in Chile: Frauen berichten depressive Symptome und Diskriminierung deutlich häufiger</w:t>
      </w:r>
    </w:p>
    <w:p>
      <w:r>
        <w:rPr>
          <w:i/>
          <w:color w:val="666666"/>
          <w:sz w:val="18"/>
        </w:rPr>
        <w:t>Bravo-Rojas G et al.  ·  Front Public Health  ·  12.08.2026  ·  PMID 42656741</w:t>
      </w:r>
    </w:p>
    <w:p>
      <w:r>
        <w:t>Eine chilenische Querschnittsstudie (n=712 Bergbauminers) untersuchte geschlechtsgebundene Unterschiede in depressiven Symptomen, psychischer Belastung und wahrgenommener Diskriminierung am Arbeitsplatz.</w:t>
      </w:r>
    </w:p>
    <w:p>
      <w:r>
        <w:rPr>
          <w:b/>
        </w:rPr>
        <w:t xml:space="preserve">Ergebnis: </w:t>
      </w:r>
      <w:r>
        <w:t>Depressive Symptome (PHQ-9 ≥10): Frauen 14,5 % vs. Männer 6,8 % (bereinigtes PR = 1,81; 95%-KI 1,01–3,25). Psychische Belastung (K6 ≥7): 21,2 % vs. 13,8 %. Wahrgenommene Arbeitsplatzdiskriminierung: 18,5 % vs. 12,4 % (PR = 1,67; 95%-KI 1,04–2,68). Geschlechtsspezifische Disparität bestand primär durch Diskriminierung und organisatorische Strukturen, nicht biologische Faktoren.</w:t>
      </w:r>
    </w:p>
    <w:p>
      <w:r>
        <w:rPr>
          <w:b/>
          <w:sz w:val="19"/>
        </w:rPr>
        <w:t xml:space="preserve">Übertragbarkeit: </w:t>
      </w:r>
      <w:r>
        <w:rPr>
          <w:sz w:val="19"/>
        </w:rPr>
        <w:t>Chile, Lagrangekontextmining; zeigt Versorgungsungleichheit durch Zugang und Behandlung</w:t>
      </w:r>
    </w:p>
    <w:p>
      <w:r>
        <w:rPr>
          <w:color w:val="5A7D3A"/>
          <w:sz w:val="18"/>
        </w:rPr>
        <w:t>https://pubmed.ncbi.nlm.nih.gov/42656741/</w:t>
      </w:r>
    </w:p>
    <w:p>
      <w:pPr>
        <w:pStyle w:val="Heading2"/>
      </w:pPr>
      <w:r>
        <w:t>Autismus-Diagnostik bei Kindern: Lehrkräfte erkennen Jungen deutlich häufiger</w:t>
      </w:r>
    </w:p>
    <w:p>
      <w:r>
        <w:rPr>
          <w:i/>
          <w:color w:val="666666"/>
          <w:sz w:val="18"/>
        </w:rPr>
        <w:t>Lacruz-Pérez I et al.  ·  Res Dev Disabil  ·  18.07.2026  ·  PMID 42470811</w:t>
      </w:r>
    </w:p>
    <w:p>
      <w:r>
        <w:t>Vor-Dienst-Lehrkräfte aus sechs Ländern diagnostizierten anhand von Vignetten Autismus bei Jungen (58 %) deutlich häufiger als bei Mädchen (16 %), unabhängig von der beschriebenen Autismus-Symptomatik.</w:t>
      </w:r>
    </w:p>
    <w:p>
      <w:r>
        <w:rPr>
          <w:b/>
        </w:rPr>
        <w:t xml:space="preserve">Ergebnis: </w:t>
      </w:r>
      <w:r>
        <w:t>Jungen wurden mehr als dreifach häufiger als Mädchen als autistisch erkannt (Odds Ratio &gt; 3 für Geschlecht), obwohl das tatsächliche Symptombild keinen Unterschied machte. Der Geschlechterstereotyp (‚Autismus ist männlich'), nicht die biologische Präsentation, bestimmte die Erkennung. Das hat zur Folge, dass autistische Mädchen systematisch unterdiagnostiziert oder später diagnostiziert werden.</w:t>
      </w:r>
    </w:p>
    <w:p>
      <w:r>
        <w:rPr>
          <w:b/>
          <w:sz w:val="19"/>
        </w:rPr>
        <w:t xml:space="preserve">Übertragbarkeit: </w:t>
      </w:r>
      <w:r>
        <w:rPr>
          <w:sz w:val="19"/>
        </w:rPr>
        <w:t>Sechs Länder, Stichprobe von Lehrkräften; übertragbar auf kulturelle Bias in der Diagnostik</w:t>
      </w:r>
    </w:p>
    <w:p>
      <w:r>
        <w:rPr>
          <w:color w:val="5A7D3A"/>
          <w:sz w:val="18"/>
        </w:rPr>
        <w:t>https://pubmed.ncbi.nlm.nih.gov/42470811/</w:t>
      </w:r>
    </w:p>
    <w:p>
      <w:pPr>
        <w:pStyle w:val="Heading2"/>
      </w:pPr>
      <w:r>
        <w:t>Ein Jahr nach Geburt: Intersektionale Unterschiede in Elterngesundheit – Rasse, Geschlecht und Klasse</w:t>
      </w:r>
    </w:p>
    <w:p>
      <w:r>
        <w:rPr>
          <w:i/>
          <w:color w:val="666666"/>
          <w:sz w:val="18"/>
        </w:rPr>
        <w:t>Santos FE et al.  ·  Soc Sci Med  ·  09.07.2026  ·  PMID 42456459</w:t>
      </w:r>
    </w:p>
    <w:p>
      <w:r>
        <w:t>Eine französische Geburtskohorte (n=24.108 Eltern) analysierte mittels intersektionaler Analyse, wie Geschlecht, Ethnizität und Sozialklasse zusammen die psychische und körperliche Gesundheit ein Jahr nach Geburt beeinflussen.</w:t>
      </w:r>
    </w:p>
    <w:p>
      <w:r>
        <w:rPr>
          <w:b/>
        </w:rPr>
        <w:t xml:space="preserve">Ergebnis: </w:t>
      </w:r>
      <w:r>
        <w:t>Die Gesundheitsungleichheiten waren additiv: Nicht-weiße Eltern, Frauen und Angehörige niedrigerer Sozialklassen berichteten schlechtere Gesundheit; psychische Gesundheit zeigte stärkere Unterschiede als körperliche. Der Schutzeffekt des Geschlechts (Vorteil für Männer) wurde durch Sozialklasse moderiert. Rasifizierung und Sexismus wirkten gemeinsam, nicht getrennt.</w:t>
      </w:r>
    </w:p>
    <w:p>
      <w:r>
        <w:rPr>
          <w:b/>
          <w:sz w:val="19"/>
        </w:rPr>
        <w:t xml:space="preserve">Übertragbarkeit: </w:t>
      </w:r>
      <w:r>
        <w:rPr>
          <w:sz w:val="19"/>
        </w:rPr>
        <w:t>Frankreich, ähnliches Sozialversicherungssystem wie Deutschland; Routinedaten aus etablierter Kohorte</w:t>
      </w:r>
    </w:p>
    <w:p>
      <w:r>
        <w:rPr>
          <w:color w:val="5A7D3A"/>
          <w:sz w:val="18"/>
        </w:rPr>
        <w:t>https://pubmed.ncbi.nlm.nih.gov/42456459/</w:t>
      </w:r>
    </w:p>
    <w:p>
      <w:pPr>
        <w:pStyle w:val="Heading2"/>
      </w:pPr>
      <w:r>
        <w:t>Beruf und Familie in der Plastischen Chirurgie: Europäische Ärzte zeigen geschlechtsspezifische Unterschiede</w:t>
      </w:r>
    </w:p>
    <w:p>
      <w:r>
        <w:rPr>
          <w:i/>
          <w:color w:val="666666"/>
          <w:sz w:val="18"/>
        </w:rPr>
        <w:t>Cai A et al.  ·  J Plast Reconstr Aesthet Surg  ·  26.05.2026  ·  PMID 42323222</w:t>
      </w:r>
    </w:p>
    <w:p>
      <w:r>
        <w:t>Eine europäische Befragung von 456 plastischen Chirurginnen und Chirurgen untersuchte, wie sie Karriere und Elternschaft vereinbaren – und wie Geschlecht diese Vereinbarkeit beeinflusst.</w:t>
      </w:r>
    </w:p>
    <w:p>
      <w:r>
        <w:rPr>
          <w:b/>
        </w:rPr>
        <w:t xml:space="preserve">Ergebnis: </w:t>
      </w:r>
      <w:r>
        <w:t>Frauen hielten seltener höhere akademische Positionen (p &lt; 0,001), übernahmen mehr Kinderbetreuung (p &lt; 0,001) und fürchteten häufiger Diskriminierung bei Familienplanung (p &lt; 0,001). Teilzeitarbeit und offene Kommunikation mit Vorgesetzten zur Familienplanung waren die stärksten Prädiktoren, dass Elternschaft mit Karriere vereinbar erschien (p = 0,004 und p &lt; 0,001). Geschlechtsdisparität entstand durch organisatorische Strukturen, nicht biologische Unterschiede.</w:t>
      </w:r>
    </w:p>
    <w:p>
      <w:r>
        <w:rPr>
          <w:b/>
          <w:sz w:val="19"/>
        </w:rPr>
        <w:t xml:space="preserve">Übertragbarkeit: </w:t>
      </w:r>
      <w:r>
        <w:rPr>
          <w:sz w:val="19"/>
        </w:rPr>
        <w:t>18 europäische Länder, deutschsprachiger Raum beteiligt; vergleichbare akademische Systeme in DACH</w:t>
      </w:r>
    </w:p>
    <w:p>
      <w:r>
        <w:rPr>
          <w:color w:val="5A7D3A"/>
          <w:sz w:val="18"/>
        </w:rPr>
        <w:t>https://pubmed.ncbi.nlm.nih.gov/42323222/</w:t>
      </w:r>
    </w:p>
    <w:p>
      <w:pPr>
        <w:pStyle w:val="Heading2"/>
      </w:pPr>
      <w:r>
        <w:t>Herzanatomische Varianten: Frauen haben unterschiedliche linke Vorhofsstrukturen als Männer</w:t>
      </w:r>
    </w:p>
    <w:p>
      <w:r>
        <w:rPr>
          <w:i/>
          <w:color w:val="666666"/>
          <w:sz w:val="18"/>
        </w:rPr>
        <w:t>Loft JJ et al.  ·  J Cardiovasc Comput Tomogr  ·  18.06.2026  ·  PMID 42309870</w:t>
      </w:r>
    </w:p>
    <w:p>
      <w:r>
        <w:t>Eine dänische Populationsstudie (n=4.630) untersuchte geschlechtsspezifische Unterschiede in Anatomievarianten des linken Vorhofs mittels Computertomographie, um Zufallsbefunde besser einzuordnen.</w:t>
      </w:r>
    </w:p>
    <w:p>
      <w:r>
        <w:rPr>
          <w:b/>
        </w:rPr>
        <w:t xml:space="preserve">Ergebnis: </w:t>
      </w:r>
      <w:r>
        <w:t>Frauen zeigten häufiger Vorhof-Septum-Aneurysmen (Geschlechtsdifferenz statistisch signifikant), aber kleinere indexierte Vorhofsvolumina bei gleichzeitig größerer Vorhofsöffnung und weniger Vorhofsohren als Männer. Lipomatöse Septumhypertrophie war mit Alter, BMI und kardiovaskulären Risikofaktoren verbunden, trat aber bei beiden Geschlechtern auf. Die Unterschiede deuten auf biologische (kongenitale) und nicht zugangsbezogene Ursachen hin.</w:t>
      </w:r>
    </w:p>
    <w:p>
      <w:r>
        <w:rPr>
          <w:b/>
          <w:sz w:val="19"/>
        </w:rPr>
        <w:t xml:space="preserve">Übertragbarkeit: </w:t>
      </w:r>
      <w:r>
        <w:rPr>
          <w:sz w:val="19"/>
        </w:rPr>
        <w:t>Dänemark (Skandinavien, vergleichbar); populationsbasierte Routine-CT-Daten</w:t>
      </w:r>
    </w:p>
    <w:p>
      <w:r>
        <w:rPr>
          <w:color w:val="5A7D3A"/>
          <w:sz w:val="18"/>
        </w:rPr>
        <w:t>https://pubmed.ncbi.nlm.nih.gov/42309870/</w:t>
      </w:r>
    </w:p>
    <w:p>
      <w:pPr>
        <w:pStyle w:val="Heading1"/>
      </w:pPr>
      <w:r>
        <w:t>Aufgenommen am 30.08.2026</w:t>
      </w:r>
    </w:p>
    <w:p>
      <w:pPr>
        <w:pStyle w:val="Heading2"/>
      </w:pPr>
      <w:r>
        <w:t>Psychische Versorgung für Trans-Menschen: Mehr Kontakt, schlechtere Ergebnisse</w:t>
      </w:r>
    </w:p>
    <w:p>
      <w:r>
        <w:rPr>
          <w:i/>
          <w:color w:val="666666"/>
          <w:sz w:val="18"/>
        </w:rPr>
        <w:t>Breslow AS et al.  ·  Am Psychol  ·  Sept. 2026  ·  PMID 42658622</w:t>
      </w:r>
    </w:p>
    <w:p>
      <w:r>
        <w:t>Retrospektive Kohortenstudie aus großer New Yorker Klinik (2015-2023) mit 2.898 trans und 29.818 cis Patienten zu psychischen Ergebnissen und Versorgungszugang in vermeintlich trans-freundlicher Umgebung.</w:t>
      </w:r>
    </w:p>
    <w:p>
      <w:r>
        <w:rPr>
          <w:b/>
        </w:rPr>
        <w:t xml:space="preserve">Ergebnis: </w:t>
      </w:r>
      <w:r>
        <w:t>Trans-Patienten hatten doppelt so hohe Rate psychischer Erkrankungen wie cis-Patienten (alle p &lt; 0,001), einschließlich Stimmungsstörungen (10,9 % vs. 2,6 %) und Angststörungen (9,7 % vs. 3,1 %). Trotz höherem Versorgungskontakt (40,92 % vs. 38,45 % Primärversorgung; Disparity 2,48 Prozentpunkte; p &lt; 0,001) blieben Ergebnisse schlecht: mehr Notfall-Besuche (8,6 % vs. 6,4 %), Suizidversuche (2,3 % vs. 1,2 %) und Hospitalisierungen (p &lt; 0,001). Schwarze und hispanische trans-Patienten zeigten additive Disparitäten – demonstriert Versorgungsparadox: mehr Zugang, aber persistente schlechtere Ergebnisse, wahrscheinlich wegen systemischer Barrieren jenseits von Verfügbarkeit.</w:t>
      </w:r>
    </w:p>
    <w:p>
      <w:r>
        <w:rPr>
          <w:b/>
          <w:sz w:val="19"/>
        </w:rPr>
        <w:t xml:space="preserve">Übertragbarkeit: </w:t>
      </w:r>
      <w:r>
        <w:rPr>
          <w:sz w:val="19"/>
        </w:rPr>
        <w:t>USA-System, aber Befund zur Kluft zwischen Zugang und Outcome relevant für alle Systeme.</w:t>
      </w:r>
    </w:p>
    <w:p>
      <w:r>
        <w:rPr>
          <w:color w:val="5A7D3A"/>
          <w:sz w:val="18"/>
        </w:rPr>
        <w:t>https://pubmed.ncbi.nlm.nih.gov/42658622/</w:t>
      </w:r>
    </w:p>
    <w:p>
      <w:pPr>
        <w:pStyle w:val="Heading2"/>
      </w:pPr>
      <w:r>
        <w:t>Eiweißmangel erhöht Sturzfrakturen bei älteren Frauen um 73%</w:t>
      </w:r>
    </w:p>
    <w:p>
      <w:r>
        <w:rPr>
          <w:i/>
          <w:color w:val="666666"/>
          <w:sz w:val="18"/>
        </w:rPr>
        <w:t>Ziller SG et al.  ·  PLoS One  ·  22.07.2026  ·  PMID 42485356</w:t>
      </w:r>
    </w:p>
    <w:p>
      <w:r>
        <w:t>Sekundäranalyse aus der Women's Health Initiative (n = 6.580, davon 1.285 Stürzer) zu Zusammenhang zwischen Proteinzufuhr und Verletzungsfolgen bei Stürzen im Alter.</w:t>
      </w:r>
    </w:p>
    <w:p>
      <w:r>
        <w:rPr>
          <w:b/>
        </w:rPr>
        <w:t xml:space="preserve">Ergebnis: </w:t>
      </w:r>
      <w:r>
        <w:t>Von 1.285 Sturzpatienten erlitten 444 (34,6 %) Verletzungen und 70 (7,7 %) Frakturen. Niedrige Proteindichte (&lt; 15 % der Kalorien aus Protein) erhöhte Frakturrisiko (OR: 1,73; 95 % KI: 1,02-2,92) gegenüber höherer Proteindichte (≥ 15 %). Bei Frauen mit Diabetesmedikation und niedriger Proteindichte war OR für jede Verletzung 5,54 (95 % KI: 1,79-17,19) – zeigt biologisch-nutritive Komponente eines bekannten Unterschieds mit therapeutischer Konsequenz.</w:t>
      </w:r>
    </w:p>
    <w:p>
      <w:r>
        <w:rPr>
          <w:b/>
          <w:sz w:val="19"/>
        </w:rPr>
        <w:t xml:space="preserve">Übertragbarkeit: </w:t>
      </w:r>
      <w:r>
        <w:rPr>
          <w:sz w:val="19"/>
        </w:rPr>
        <w:t>USA-Studie, aber Ernährungsintervention unabhängig von Versorgungssystem übertragbar.</w:t>
      </w:r>
    </w:p>
    <w:p>
      <w:r>
        <w:rPr>
          <w:color w:val="5A7D3A"/>
          <w:sz w:val="18"/>
        </w:rPr>
        <w:t>https://pubmed.ncbi.nlm.nih.gov/42485356/</w:t>
      </w:r>
    </w:p>
    <w:p>
      <w:pPr>
        <w:pStyle w:val="Heading2"/>
      </w:pPr>
      <w:r>
        <w:t>Geschlechtergerechtigkeit in gynäkologischer Onkologie: Parität bei Mitgliedschaft, nicht in Führung</w:t>
      </w:r>
    </w:p>
    <w:p>
      <w:r>
        <w:rPr>
          <w:i/>
          <w:color w:val="666666"/>
          <w:sz w:val="18"/>
        </w:rPr>
        <w:t>Zwimpfer TA et al.  ·  Int J Gynecol Cancer  ·  13.06.2026  ·  PMID 42430843</w:t>
      </w:r>
    </w:p>
    <w:p>
      <w:r>
        <w:t>Longitudinalanalyse der Europäischen Gesellschaft für Gynäkologische Onkologie 2013-2024 zu geschlechtsbezogenen und regionalen Unterschieden in Mitgliedschaft und Governance-Vertretung.</w:t>
      </w:r>
    </w:p>
    <w:p>
      <w:r>
        <w:rPr>
          <w:b/>
        </w:rPr>
        <w:t xml:space="preserve">Ergebnis: </w:t>
      </w:r>
      <w:r>
        <w:t>Frauenanteil in Mitgliedschaft stieg von 2013 auf 2024 und erreichte 2024 Parität (OR für Frauenmitgliedschaft: 1,04 pro Jahr; 95 % KI 1,03-1,05; p &lt; 0,001), während Geschlecht nicht mit Ratsmitgliedschaft assoziiert war (OR 0,95; 95 % KI 0,63-1,42; p = 0,79). Regionale Unterschiede waren signifikant: Frauen in Nordeuropa hatten höhere Chancen (OR 1,69; 95 % KI 1,55-1,84) als in Osteuropa (OR 0,78; 95 % KI 0,71-0,85) – zeigt, dass strukturelle und geografische Faktoren Governance-Repräsentation stärker beeinflussen als Geschlecht.</w:t>
      </w:r>
    </w:p>
    <w:p>
      <w:r>
        <w:rPr>
          <w:b/>
          <w:sz w:val="19"/>
        </w:rPr>
        <w:t xml:space="preserve">Übertragbarkeit: </w:t>
      </w:r>
      <w:r>
        <w:rPr>
          <w:sz w:val="19"/>
        </w:rPr>
        <w:t>Europäische Fachgesellschaften, DACH eingeschlossen, systemische Faktoren übertragbar.</w:t>
      </w:r>
    </w:p>
    <w:p>
      <w:r>
        <w:rPr>
          <w:color w:val="5A7D3A"/>
          <w:sz w:val="18"/>
        </w:rPr>
        <w:t>https://pubmed.ncbi.nlm.nih.gov/42430843/</w:t>
      </w:r>
    </w:p>
    <w:p>
      <w:pPr>
        <w:pStyle w:val="Heading2"/>
      </w:pPr>
      <w:r>
        <w:t>Körperzusammensetzung nach Lebensstiländerung: Männer bauen mehr Muskel auf</w:t>
      </w:r>
    </w:p>
    <w:p>
      <w:r>
        <w:rPr>
          <w:i/>
          <w:color w:val="666666"/>
          <w:sz w:val="18"/>
        </w:rPr>
        <w:t>Novák A et al.  ·  Med Pr  ·  16.07.2026  ·  PMID 42422889</w:t>
      </w:r>
    </w:p>
    <w:p>
      <w:r>
        <w:t>Quasi-experimentale Pilotstudie mit 40 Angehörigen der ungarischen Verteidigungstruppen (21 Männer, 19 Frauen), Alter 24-55, in 6-Monats-Intervention mit Ernährungsberatung, betreutem Training 3x/Woche und kognitiver Verhaltensgruppe.</w:t>
      </w:r>
    </w:p>
    <w:p>
      <w:r>
        <w:rPr>
          <w:b/>
        </w:rPr>
        <w:t xml:space="preserve">Ergebnis: </w:t>
      </w:r>
      <w:r>
        <w:t>Beide Geschlechter verbesserten sich: Männer reduzierten Körpergewicht um 9,25 ± 11,68 kg (p = 0,001), Frauen um 5,79 ± 5,88 kg (p = 0,005); Körperfettanteil sank bei Männern um 3,77 ± 4,94 % (p = 0,011), bei Frauen um 2,66 ± 3,53 % (p = 0,030). Skelettmuskulatur stieg signifikant bei Männern (1,70 ± 3,58 kg; p = 0,029), aber nicht signifikant bei Frauen (1,13 ± 1,76 kg; p = 0,063), obwohl Ausgangswerte ähnlich waren – zeigt geschlechtsabhängige Anpassungsmuster.</w:t>
      </w:r>
    </w:p>
    <w:p>
      <w:r>
        <w:rPr>
          <w:b/>
          <w:sz w:val="19"/>
        </w:rPr>
        <w:t xml:space="preserve">Übertragbarkeit: </w:t>
      </w:r>
      <w:r>
        <w:rPr>
          <w:sz w:val="19"/>
        </w:rPr>
        <w:t>Ungarn (DACH-ähnlich), vergleichbares Gesundheitssystem, Routine-Daten.</w:t>
      </w:r>
    </w:p>
    <w:p>
      <w:r>
        <w:rPr>
          <w:color w:val="5A7D3A"/>
          <w:sz w:val="18"/>
        </w:rPr>
        <w:t>https://pubmed.ncbi.nlm.nih.gov/42422889/</w:t>
      </w:r>
    </w:p>
    <w:p>
      <w:pPr>
        <w:pStyle w:val="Heading2"/>
      </w:pPr>
      <w:r>
        <w:t>Lungenkrebs: Frauen überleben länger, aber nicht wegen besserer Behandlung</w:t>
      </w:r>
    </w:p>
    <w:p>
      <w:r>
        <w:rPr>
          <w:i/>
          <w:color w:val="666666"/>
          <w:sz w:val="18"/>
        </w:rPr>
        <w:t>Templement-Grangerat D et al.  ·  Lung Cancer  ·  20.06.2026  ·  PMID 42341535</w:t>
      </w:r>
    </w:p>
    <w:p>
      <w:r>
        <w:t>Analyse von 3.095 Frauen und 5.846 Männern mit Lungenkarzinom 2020 aus 81 französischen Zentren, um geschlechtsspezifische Unterschiede in Klinik, Tumor und Prognose zu vergleichen.</w:t>
      </w:r>
    </w:p>
    <w:p>
      <w:r>
        <w:rPr>
          <w:b/>
        </w:rPr>
        <w:t xml:space="preserve">Ergebnis: </w:t>
      </w:r>
      <w:r>
        <w:t>Frauen hatten ein besseres Gesamtüberleben als Männer (4-Jahres-OS: 34,7 % vs. 23,7 %; Median-OS: 21,9 vs. 12,6 Monate; p &lt; 0,0001), aber dieser Vorteil war in adjusted multivariable analysis (HR 0,79; 95 % KI 0,74-0,84; p &lt; 0,0001) verschwunden, wenn man für Behandlungsunterschiede kontrollierte, was nahelegt, dass biologische Unterschiede weniger Gewicht haben als therapeutische Entscheidungen.</w:t>
      </w:r>
    </w:p>
    <w:p>
      <w:r>
        <w:rPr>
          <w:b/>
          <w:sz w:val="19"/>
        </w:rPr>
        <w:t xml:space="preserve">Übertragbarkeit: </w:t>
      </w:r>
      <w:r>
        <w:rPr>
          <w:sz w:val="19"/>
        </w:rPr>
        <w:t>Frankreich, vergleichbare europäische Versorgungssysteme und Dokumentation.</w:t>
      </w:r>
    </w:p>
    <w:p>
      <w:r>
        <w:rPr>
          <w:color w:val="5A7D3A"/>
          <w:sz w:val="18"/>
        </w:rPr>
        <w:t>https://pubmed.ncbi.nlm.nih.gov/42341535/</w:t>
      </w:r>
    </w:p>
    <w:p>
      <w:pPr>
        <w:pStyle w:val="Heading2"/>
      </w:pPr>
      <w:r>
        <w:t>Geschlechterunterschied bei Verzicht auf Intensivtherapie: Frauen früher, Männer später</w:t>
      </w:r>
    </w:p>
    <w:p>
      <w:r>
        <w:rPr>
          <w:i/>
          <w:color w:val="666666"/>
          <w:sz w:val="18"/>
        </w:rPr>
        <w:t>Amacher SA et al.  ·  Crit Care  ·  19.06.2026  ·  PMID 42316265</w:t>
      </w:r>
    </w:p>
    <w:p>
      <w:r>
        <w:t>Nationale Kohortenstudie aus der Schweiz mit 654.660 Intensivaufenthalten 2016-2024 zu zeitlichem Muster von Behandlungsbegrenzungen nach Geschlecht.</w:t>
      </w:r>
    </w:p>
    <w:p>
      <w:r>
        <w:rPr>
          <w:b/>
        </w:rPr>
        <w:t xml:space="preserve">Ergebnis: </w:t>
      </w:r>
      <w:r>
        <w:t>Behandlungsbegrenzungen waren bei Aufnahme häufiger bei Frauen (12,0 % vs. 8,6 %), aber während des Aufenthalts ähnlich (5,5 % vs. 5,5 %). Weibliches Geschlecht war unabhängig mit Begrenzungen bei Aufnahme assoziiert (aOR 1,26; 95 % KI 1,24-1,28), aber nur schwach mit späteren Begrenzungen (aOR 1,10; 95 % KI 1,08-1,13). Frauen hatten häufiger Ceiling-of-Care-Entscheidungen und dokumentierte Patientenwünsche, Männer häufiger Therapiebeendigung und ärztliche Entscheidungen – vermutlich Unterschiede in Triage-Heuristiken und Advance Care Planning.</w:t>
      </w:r>
    </w:p>
    <w:p>
      <w:r>
        <w:rPr>
          <w:b/>
          <w:sz w:val="19"/>
        </w:rPr>
        <w:t xml:space="preserve">Übertragbarkeit: </w:t>
      </w:r>
      <w:r>
        <w:rPr>
          <w:sz w:val="19"/>
        </w:rPr>
        <w:t>Schweiz, hochwertige Klinikdaten, DACH-System vergleichbar.</w:t>
      </w:r>
    </w:p>
    <w:p>
      <w:r>
        <w:rPr>
          <w:color w:val="5A7D3A"/>
          <w:sz w:val="18"/>
        </w:rPr>
        <w:t>https://pubmed.ncbi.nlm.nih.gov/42316265/</w:t>
      </w:r>
    </w:p>
    <w:p>
      <w:pPr>
        <w:pStyle w:val="Heading1"/>
      </w:pPr>
      <w:r>
        <w:t>Aufgenommen am 29.08.2026</w:t>
      </w:r>
    </w:p>
    <w:p>
      <w:pPr>
        <w:pStyle w:val="Heading2"/>
      </w:pPr>
      <w:r>
        <w:t>Blutdruckvariabilität bei Intensivpatienten: Frauen mit höherer Instabilität und Mortalitätsrisiko</w:t>
      </w:r>
    </w:p>
    <w:p>
      <w:r>
        <w:rPr>
          <w:i/>
          <w:color w:val="666666"/>
          <w:sz w:val="18"/>
        </w:rPr>
        <w:t>Ng PY et al.  ·  Open Heart  ·  28.08.2026  ·  PMID 42665291</w:t>
      </w:r>
    </w:p>
    <w:p>
      <w:r>
        <w:t>Hongkonger ICU-Kohorte mit 11.153 Aufnahmen (39,4% Frauen), Analyse von Blutdruckvariabilität und Outcome-Unterschieden zwischen Geschlechtern.</w:t>
      </w:r>
    </w:p>
    <w:p>
      <w:r>
        <w:rPr>
          <w:b/>
        </w:rPr>
        <w:t xml:space="preserve">Ergebnis: </w:t>
      </w:r>
      <w:r>
        <w:t>Frauen zeigten höhere Variabilität in mittlerem arteriellen Druck (8,2% vs. 8,2%, adjustiert p=0,03) und diastolisch (9,3% vs. 9,1%, adjustiert p&lt;0,001). Jedes Prozent MAP-Variabilität war assoziiert mit 12% höheren Odds für ICU-Mortalität; dieser Effekt war geschlechtsspezifisch modifiziert (p=0,024).</w:t>
      </w:r>
    </w:p>
    <w:p>
      <w:r>
        <w:rPr>
          <w:b/>
          <w:sz w:val="19"/>
        </w:rPr>
        <w:t xml:space="preserve">Übertragbarkeit: </w:t>
      </w:r>
      <w:r>
        <w:rPr>
          <w:sz w:val="19"/>
        </w:rPr>
        <w:t>USA-ähnliches System, physiologischer Befund jedoch systemübergreifend relevant</w:t>
      </w:r>
    </w:p>
    <w:p>
      <w:r>
        <w:rPr>
          <w:color w:val="5A7D3A"/>
          <w:sz w:val="18"/>
        </w:rPr>
        <w:t>https://pubmed.ncbi.nlm.nih.gov/42665291/</w:t>
      </w:r>
    </w:p>
    <w:p>
      <w:pPr>
        <w:pStyle w:val="Heading2"/>
      </w:pPr>
      <w:r>
        <w:t>Müttersterblichkeit in Mexiko: Geschlecht und Ethnizität prägen Kontinuum-Lücken</w:t>
      </w:r>
    </w:p>
    <w:p>
      <w:r>
        <w:rPr>
          <w:i/>
          <w:color w:val="666666"/>
          <w:sz w:val="18"/>
        </w:rPr>
        <w:t>Suárez-López L et al.  ·  Cad Saude Publica  ·  21.08.2026  ·  PMID 42659432</w:t>
      </w:r>
    </w:p>
    <w:p>
      <w:r>
        <w:t>Mexikanische Querschnittstudie mit 2.846 kürzlich entbundenen Frauen zur Ungleichheit in Müttergesundheitsversorgung nach Statusgruppen (Konzentrations-Index-Dekomposition).</w:t>
      </w:r>
    </w:p>
    <w:p>
      <w:r>
        <w:rPr>
          <w:b/>
        </w:rPr>
        <w:t xml:space="preserve">Ergebnis: </w:t>
      </w:r>
      <w:r>
        <w:t>Kontinuum-Versorgung erreicht 37,3% (95% CI 34,6–40,1). Soziale Sicherheit (OR 1,37, 95% CI 1,1–1,8), Nicht-Indigene (OR 2,08, 95% CI 1,2–3,6) und präpandemisch (OR 1,84, 95% CI 1,4–2,4) waren begünstigend. Haupttreiber der Ungleichheit: Nicht-Indigene Status (30%), Sozialversicherung (31,1%), Zeit (9,6%). Konzentrations-Index 0,098 (p&lt;0,05), pro-reich.</w:t>
      </w:r>
    </w:p>
    <w:p>
      <w:r>
        <w:rPr>
          <w:b/>
          <w:sz w:val="19"/>
        </w:rPr>
        <w:t xml:space="preserve">Übertragbarkeit: </w:t>
      </w:r>
      <w:r>
        <w:rPr>
          <w:sz w:val="19"/>
        </w:rPr>
        <w:t>Lateinamerika, andere Sozialversicherung; Erklärmuster für Zugangsbarrieren aber übertragbar</w:t>
      </w:r>
    </w:p>
    <w:p>
      <w:r>
        <w:rPr>
          <w:color w:val="5A7D3A"/>
          <w:sz w:val="18"/>
        </w:rPr>
        <w:t>https://pubmed.ncbi.nlm.nih.gov/42659432/</w:t>
      </w:r>
    </w:p>
    <w:p>
      <w:pPr>
        <w:pStyle w:val="Heading2"/>
      </w:pPr>
      <w:r>
        <w:t>LGBTI-Gesundheitskompetenz von Hausärztinnen: RCT eines E-Learning-Programms in der Schweiz</w:t>
      </w:r>
    </w:p>
    <w:p>
      <w:r>
        <w:rPr>
          <w:i/>
          <w:color w:val="666666"/>
          <w:sz w:val="18"/>
        </w:rPr>
        <w:t>Bergonzoli K et al.  ·  BMJ Open  ·  04.08.2026  ·  PMID 42552009</w:t>
      </w:r>
    </w:p>
    <w:p>
      <w:r>
        <w:t>Schweizer RCT mit Hausärztinnen (französischsprachig) zur Wirksamkeit von I-CARE-E-Learning auf Wissen, Haltung und Verhalten gegenüber LGBTI-Patienten, Vergleich mit Motivational-Interviewing-Kontrolle.</w:t>
      </w:r>
    </w:p>
    <w:p>
      <w:r>
        <w:rPr>
          <w:b/>
        </w:rPr>
        <w:t xml:space="preserve">Ergebnis: </w:t>
      </w:r>
      <w:r>
        <w:t>Primäre Outcomes (Wissen und Haltung) werden gemessen sofort nach Intervention und 3 Monate später. Studiendesign: 1:1 Randomisierung, Überlegenheitsprüfung. Sekundär: Fertigkeiten, Selbstbericht und Umgebungsfaktoren. Ergebnisse noch nicht berichtet (Protokoll).</w:t>
      </w:r>
    </w:p>
    <w:p>
      <w:r>
        <w:rPr>
          <w:b/>
          <w:sz w:val="19"/>
        </w:rPr>
        <w:t xml:space="preserve">Übertragbarkeit: </w:t>
      </w:r>
      <w:r>
        <w:rPr>
          <w:sz w:val="19"/>
        </w:rPr>
        <w:t>Schweiz, DACH-vergleichbar, Implementierungs-Forschung für deutschsprachigen Raum relevant</w:t>
      </w:r>
    </w:p>
    <w:p>
      <w:r>
        <w:rPr>
          <w:color w:val="5A7D3A"/>
          <w:sz w:val="18"/>
        </w:rPr>
        <w:t>https://pubmed.ncbi.nlm.nih.gov/42552009/</w:t>
      </w:r>
    </w:p>
    <w:p>
      <w:pPr>
        <w:pStyle w:val="Heading2"/>
      </w:pPr>
      <w:r>
        <w:t>Geschlechtsspezifische Unterschiede bei Herzstillstand: Behandlung oder Vorbedingungen?</w:t>
      </w:r>
    </w:p>
    <w:p>
      <w:r>
        <w:rPr>
          <w:i/>
          <w:color w:val="666666"/>
          <w:sz w:val="18"/>
        </w:rPr>
        <w:t>Osmundsen SL et al.  ·  Resuscitation  ·  26.06.2026  ·  PMID 42361889</w:t>
      </w:r>
    </w:p>
    <w:p>
      <w:r>
        <w:t>Norwegische Registerstudie mit 27.621 Fällen außerklinischer Reanimationen 2015-2024, Untersuchung von Geschlechtsspezifika in Behandlung und Überleben.</w:t>
      </w:r>
    </w:p>
    <w:p>
      <w:r>
        <w:rPr>
          <w:b/>
        </w:rPr>
        <w:t xml:space="preserve">Ergebnis: </w:t>
      </w:r>
      <w:r>
        <w:t>Frauen unterschieden sich in Arrest-Lokalisation und Rhythmus von Männern. Behandlungsunterschiede bei CPR-Dauer und Medikation waren nicht geschlechtsspezifisch motiviert. Frauen zeigten höhere Odds für unmittelbares Überleben (signifikant), aber niedrigeres 30-Tage-Überleben – ungeklärt durch gemessene Variablen (OR nicht quantifiziert, p-Wert nicht angegeben).</w:t>
      </w:r>
    </w:p>
    <w:p>
      <w:r>
        <w:rPr>
          <w:b/>
          <w:sz w:val="19"/>
        </w:rPr>
        <w:t xml:space="preserve">Übertragbarkeit: </w:t>
      </w:r>
      <w:r>
        <w:rPr>
          <w:sz w:val="19"/>
        </w:rPr>
        <w:t>Norwegen, Notfall-Register mit standardisierter Dokumentation, EU-vergleichbar</w:t>
      </w:r>
    </w:p>
    <w:p>
      <w:r>
        <w:rPr>
          <w:color w:val="5A7D3A"/>
          <w:sz w:val="18"/>
        </w:rPr>
        <w:t>https://pubmed.ncbi.nlm.nih.gov/42361889/</w:t>
      </w:r>
    </w:p>
    <w:p>
      <w:pPr>
        <w:pStyle w:val="Heading2"/>
      </w:pPr>
      <w:r>
        <w:t>Rauchen in Lettland: Geschlechtsspezifische Trends und Bildungseffekt 2009–2019</w:t>
      </w:r>
    </w:p>
    <w:p>
      <w:r>
        <w:rPr>
          <w:i/>
          <w:color w:val="666666"/>
          <w:sz w:val="18"/>
        </w:rPr>
        <w:t>Apinis P et al.  ·  Medicina (Kaunas)  ·  22.06.2026  ·  PMID 42356212</w:t>
      </w:r>
    </w:p>
    <w:p>
      <w:r>
        <w:t>Populationsbasierte Querschnittstudie mit 3.807 (2009) und 4.070 (2019) Erwachsenen, Analyse geschlechtergetrennter Rauchtrendtrends und Prädiktoren.</w:t>
      </w:r>
    </w:p>
    <w:p>
      <w:r>
        <w:rPr>
          <w:b/>
        </w:rPr>
        <w:t xml:space="preserve">Ergebnis: </w:t>
      </w:r>
      <w:r>
        <w:t>Rauchen sank bei Männern (43,6% → 36,0%, p&lt;0,01), stieg bei Frauen (15,0% → 18,1%, p&lt;0,01). Höhere Bildung schützend für beide: Männer OR 0,48 (95% CI 0,38–0,59), Frauen OR 0,39 (95% CI 0,29–0,50). Körperliche Aktivität nicht unabhängig prädiktiv.</w:t>
      </w:r>
    </w:p>
    <w:p>
      <w:r>
        <w:rPr>
          <w:b/>
          <w:sz w:val="19"/>
        </w:rPr>
        <w:t xml:space="preserve">Übertragbarkeit: </w:t>
      </w:r>
      <w:r>
        <w:rPr>
          <w:sz w:val="19"/>
        </w:rPr>
        <w:t>Baltischer EU-Staat, ähnliche Datenstruktur, europäische Gesundheitssysteme vergleichbar</w:t>
      </w:r>
    </w:p>
    <w:p>
      <w:r>
        <w:rPr>
          <w:color w:val="5A7D3A"/>
          <w:sz w:val="18"/>
        </w:rPr>
        <w:t>https://pubmed.ncbi.nlm.nih.gov/42356212/</w:t>
      </w:r>
    </w:p>
    <w:p>
      <w:pPr>
        <w:pStyle w:val="Heading2"/>
      </w:pPr>
      <w:r>
        <w:t>Elektrokonvulsivtherapie bei Depression: Geschlechtsspezifische Ansprechbarkeit und Prädiktoren</w:t>
      </w:r>
    </w:p>
    <w:p>
      <w:r>
        <w:rPr>
          <w:i/>
          <w:color w:val="666666"/>
          <w:sz w:val="18"/>
        </w:rPr>
        <w:t>Blanken MAJT et al.  ·  J Affect Disord  ·  15.11.2026  ·  PMID 42341945</w:t>
      </w:r>
    </w:p>
    <w:p>
      <w:r>
        <w:t>Niederländisches Konsortium (Dutch ECT Consortium) mit 1.892 Patienten (1.210 Frauen), Analyse geschlechtsspezifischer Prädiktoren für Remission nach EKT.</w:t>
      </w:r>
    </w:p>
    <w:p>
      <w:r>
        <w:rPr>
          <w:b/>
        </w:rPr>
        <w:t xml:space="preserve">Ergebnis: </w:t>
      </w:r>
      <w:r>
        <w:t>Remissionsrate insgesamt gleich zwischen Geschlechtern (p=0,17). Signifikante Interaktion: Bei Männern nahm Remission mit längerer Episodendauer ab, bei Frauen blieb sie stabil. Frauen mit vorheriger Psychotherapie zeigten niedrigere Remissionsraten als Männer (Größenordnung: moderat, p&lt;0,05 für Interaktionen).</w:t>
      </w:r>
    </w:p>
    <w:p>
      <w:r>
        <w:rPr>
          <w:b/>
          <w:sz w:val="19"/>
        </w:rPr>
        <w:t xml:space="preserve">Übertragbarkeit: </w:t>
      </w:r>
      <w:r>
        <w:rPr>
          <w:sz w:val="19"/>
        </w:rPr>
        <w:t>Niederlande, Spezialisierte Versorgung, deutsches System ähnlich strukturiert</w:t>
      </w:r>
    </w:p>
    <w:p>
      <w:r>
        <w:rPr>
          <w:color w:val="5A7D3A"/>
          <w:sz w:val="18"/>
        </w:rPr>
        <w:t>https://pubmed.ncbi.nlm.nih.gov/42341945/</w:t>
      </w:r>
    </w:p>
    <w:p>
      <w:pPr>
        <w:pStyle w:val="Heading1"/>
      </w:pPr>
      <w:r>
        <w:t>Aufgenommen am 28.08.2026</w:t>
      </w:r>
    </w:p>
    <w:p>
      <w:pPr>
        <w:pStyle w:val="Heading2"/>
      </w:pPr>
      <w:r>
        <w:t>Vietnamesisches Fachpersonal in deutscher Psychiatrie: Psychische Belastung und Geschlechterunterschiede</w:t>
      </w:r>
    </w:p>
    <w:p>
      <w:r>
        <w:rPr>
          <w:i/>
          <w:color w:val="666666"/>
          <w:sz w:val="18"/>
        </w:rPr>
        <w:t>Eilinghoff L et al.  ·  Sci Rep  ·  28.07.2026  ·  PMID 42521695</w:t>
      </w:r>
    </w:p>
    <w:p>
      <w:r>
        <w:t>Querschnittstudie zur beruflichen Lebensqualität (ProQOL) vietnamesischer und deutscher Fachkräfte in der psychischen Gesundheit in Berlin.</w:t>
      </w:r>
    </w:p>
    <w:p>
      <w:r>
        <w:rPr>
          <w:b/>
        </w:rPr>
        <w:t xml:space="preserve">Ergebnis: </w:t>
      </w:r>
      <w:r>
        <w:t>Vietnamesische Mitarbeiter zeigten signifikant niedrigere Compassion Satisfaction (p&lt;0,05) und höhere Secondary Traumatic Stress (p&lt;0,05) als deutsche Kollegen. Frauen berichteten höhere Compassion Satisfaction als Männer (p&lt;0,05); keine Geschlechtsunterschiede in Burnout oder STS. Migration ist mit relevanten ProQOL-Unterschieden assoziiert.</w:t>
      </w:r>
    </w:p>
    <w:p>
      <w:r>
        <w:rPr>
          <w:b/>
          <w:sz w:val="19"/>
        </w:rPr>
        <w:t xml:space="preserve">Übertragbarkeit: </w:t>
      </w:r>
      <w:r>
        <w:rPr>
          <w:sz w:val="19"/>
        </w:rPr>
        <w:t>Deutschland, Charité Berlin, deutsches Gesundheitswesen mit Migrationsfachkräften</w:t>
      </w:r>
    </w:p>
    <w:p>
      <w:r>
        <w:rPr>
          <w:color w:val="5A7D3A"/>
          <w:sz w:val="18"/>
        </w:rPr>
        <w:t>https://pubmed.ncbi.nlm.nih.gov/42521695/</w:t>
      </w:r>
    </w:p>
    <w:p>
      <w:pPr>
        <w:pStyle w:val="Heading2"/>
      </w:pPr>
      <w:r>
        <w:t>Bestell für trans Menschen in Griechenland: Roadmap zur Versorgungsintegration</w:t>
      </w:r>
    </w:p>
    <w:p>
      <w:r>
        <w:rPr>
          <w:i/>
          <w:color w:val="666666"/>
          <w:sz w:val="18"/>
        </w:rPr>
        <w:t>Anastasaki M et al.  ·  Front Public Health  ·  13.07.2026  ·  PMID 42517110</w:t>
      </w:r>
    </w:p>
    <w:p>
      <w:r>
        <w:t>Synthese aus dem TRANSCARE-Projekt: Welche Änderungen in Leitlinien, Fortbildung und Finanzierung notwendig sind, um geschlechtsangleichende Versorgung in europäische Gesundheitssysteme zu integrieren.</w:t>
      </w:r>
    </w:p>
    <w:p>
      <w:r>
        <w:rPr>
          <w:b/>
        </w:rPr>
        <w:t xml:space="preserve">Ergebnis: </w:t>
      </w:r>
      <w:r>
        <w:t>Roadmap benannt sechs Faktoren: Gesundheitspolitik, Gesetzgebung und Finanzierung, Verfügbarkeit von Hormonpräparaten, ärztliche Fortbildung, Implementierung von trans-spezifischen Diensten in primärer und sekundärer Versorgung sowie Verknüpfung von medizinischer und sozialer Hilfe. Pilotierung notwendig.</w:t>
      </w:r>
    </w:p>
    <w:p>
      <w:r>
        <w:rPr>
          <w:b/>
          <w:sz w:val="19"/>
        </w:rPr>
        <w:t xml:space="preserve">Übertragbarkeit: </w:t>
      </w:r>
      <w:r>
        <w:rPr>
          <w:sz w:val="19"/>
        </w:rPr>
        <w:t>Griechenland, europäischer Kontext, Modell für Adaptation in anderen Ländern</w:t>
      </w:r>
    </w:p>
    <w:p>
      <w:r>
        <w:rPr>
          <w:color w:val="5A7D3A"/>
          <w:sz w:val="18"/>
        </w:rPr>
        <w:t>https://pubmed.ncbi.nlm.nih.gov/42517110/</w:t>
      </w:r>
    </w:p>
    <w:p>
      <w:pPr>
        <w:pStyle w:val="Heading2"/>
      </w:pPr>
      <w:r>
        <w:t>Saunabaden und Geschlecht: Frauen erholen sich, Männer sind sozial – Schweden</w:t>
      </w:r>
    </w:p>
    <w:p>
      <w:r>
        <w:rPr>
          <w:i/>
          <w:color w:val="666666"/>
          <w:sz w:val="18"/>
        </w:rPr>
        <w:t>Engström Å et al.  ·  Int J Circumpolar Health  ·  31.12.2026  ·  PMID 42507891</w:t>
      </w:r>
    </w:p>
    <w:p>
      <w:r>
        <w:t>Deskriptive Querschnittstudie zu Motivationen und wahrgenommenen Gesundheitseffekten des Saunabades mit 588 schwedischen Regelmäßigen (384 Frauen, 204 Männer).</w:t>
      </w:r>
    </w:p>
    <w:p>
      <w:r>
        <w:rPr>
          <w:b/>
        </w:rPr>
        <w:t xml:space="preserve">Ergebnis: </w:t>
      </w:r>
      <w:r>
        <w:t>Frauen nannten psychische Erholung als Hauptmotivation (mental recovery), Männer soziale Kontakte (social togetherness). Frauen berichteten signifikant bessere Schlafqualität (p&lt;0,05) und weniger Körperschmerz (p&lt;0,05) nach Saunabaden; Männer zeigten diese Unterschiede nicht. Sauna wird als multidimensionale Gesundheitsförderung wahrgenommen.</w:t>
      </w:r>
    </w:p>
    <w:p>
      <w:r>
        <w:rPr>
          <w:b/>
          <w:sz w:val="19"/>
        </w:rPr>
        <w:t xml:space="preserve">Übertragbarkeit: </w:t>
      </w:r>
      <w:r>
        <w:rPr>
          <w:sz w:val="19"/>
        </w:rPr>
        <w:t>Skandinavien, kulturelle Besonderheit, Geschlechterdimorphismus in Wahrnehmung und biologischer Response</w:t>
      </w:r>
    </w:p>
    <w:p>
      <w:r>
        <w:rPr>
          <w:color w:val="5A7D3A"/>
          <w:sz w:val="18"/>
        </w:rPr>
        <w:t>https://pubmed.ncbi.nlm.nih.gov/42507891/</w:t>
      </w:r>
    </w:p>
    <w:p>
      <w:pPr>
        <w:pStyle w:val="Heading2"/>
      </w:pPr>
      <w:r>
        <w:t>Englischproficiency und Versorgung: Wer die Sprache nicht spricht, kommt nicht an Versorgung heran – England</w:t>
      </w:r>
    </w:p>
    <w:p>
      <w:r>
        <w:rPr>
          <w:i/>
          <w:color w:val="666666"/>
          <w:sz w:val="18"/>
        </w:rPr>
        <w:t>Davidson R et al.  ·  Health Place  ·  13.07.2026  ·  PMID 42442179</w:t>
      </w:r>
    </w:p>
    <w:p>
      <w:r>
        <w:t>Analyse von Routinedaten aus Hausarztpraxen und Kliniken in Nordwestlondon: Zusammenhang zwischen Englischkenntnissen und gesundheitlicher Versorgung sowie Outcomes.</w:t>
      </w:r>
    </w:p>
    <w:p>
      <w:r>
        <w:rPr>
          <w:b/>
        </w:rPr>
        <w:t xml:space="preserve">Ergebnis: </w:t>
      </w:r>
      <w:r>
        <w:t>Personen ohne Englischkenntnisse zeigten höhere altersbereinigt Prävalenzen kardiometabolischer Erkrankungen und höhere primär- und sekundärmedizinische Inanspruchnahme. Sprachbarrieren sind ein signifikanter Zugangshindernis; Sprachunterstützung ab Registrierung wird empfohlen.</w:t>
      </w:r>
    </w:p>
    <w:p>
      <w:r>
        <w:rPr>
          <w:b/>
          <w:sz w:val="19"/>
        </w:rPr>
        <w:t xml:space="preserve">Übertragbarkeit: </w:t>
      </w:r>
      <w:r>
        <w:rPr>
          <w:sz w:val="19"/>
        </w:rPr>
        <w:t>Großbritannien (NHS), vergleichbare Dokumentationspflichten, anderer Zugang als Deutschland</w:t>
      </w:r>
    </w:p>
    <w:p>
      <w:r>
        <w:rPr>
          <w:color w:val="5A7D3A"/>
          <w:sz w:val="18"/>
        </w:rPr>
        <w:t>https://pubmed.ncbi.nlm.nih.gov/42442179/</w:t>
      </w:r>
    </w:p>
    <w:p>
      <w:pPr>
        <w:pStyle w:val="Heading2"/>
      </w:pPr>
      <w:r>
        <w:t>Frauen erholen sich besser von großen Magen-Darm-Tumoren – Männer zeigen höhere Sterblichkeit</w:t>
      </w:r>
    </w:p>
    <w:p>
      <w:r>
        <w:rPr>
          <w:i/>
          <w:color w:val="666666"/>
          <w:sz w:val="18"/>
        </w:rPr>
        <w:t>Mantke R et al.  ·  BJS Open  ·  03.07.2026  ·  PMID 42397348</w:t>
      </w:r>
    </w:p>
    <w:p>
      <w:r>
        <w:t>Vergleich von geschlechtsspezifischen Sterblichkeitsraten und Komplikationen nach kurativen Resektionen von Magen-Darm-Tumoren anhand deutscher Routinedaten 2010–2023.</w:t>
      </w:r>
    </w:p>
    <w:p>
      <w:r>
        <w:rPr>
          <w:b/>
        </w:rPr>
        <w:t xml:space="preserve">Ergebnis: </w:t>
      </w:r>
      <w:r>
        <w:t>Frauen hatten niedrigere adjustierte Odds für in-hospital-Mortalität (5,4 % vs. 6,3 %; aOR 0,82, 95%-KI 0,81–0,84) und Komplikationen (11,9 % vs. 12,4 %; aOR 0,92, 95%-KI 0,89–0,94) als Männer. Der Vorteil war konsistent über Tumorarten hinweg (außer Ösophagus). Ursachen sind nicht unmittelbar geklärt.</w:t>
      </w:r>
    </w:p>
    <w:p>
      <w:r>
        <w:rPr>
          <w:b/>
          <w:sz w:val="19"/>
        </w:rPr>
        <w:t xml:space="preserve">Übertragbarkeit: </w:t>
      </w:r>
      <w:r>
        <w:rPr>
          <w:sz w:val="19"/>
        </w:rPr>
        <w:t>Deutschland, deutsche Klinikdaten und Diagnoseverfahren mit hoher Dokumentationsqualität</w:t>
      </w:r>
    </w:p>
    <w:p>
      <w:r>
        <w:rPr>
          <w:color w:val="5A7D3A"/>
          <w:sz w:val="18"/>
        </w:rPr>
        <w:t>https://pubmed.ncbi.nlm.nih.gov/42397348/</w:t>
      </w:r>
    </w:p>
    <w:p>
      <w:pPr>
        <w:pStyle w:val="Heading2"/>
      </w:pPr>
      <w:r>
        <w:t>Frauen im gebärfähigen Alter: 30 Jahre Wandel in Gesundheit, Lebensstil, Verhütung – Schweiz</w:t>
      </w:r>
    </w:p>
    <w:p>
      <w:r>
        <w:rPr>
          <w:i/>
          <w:color w:val="666666"/>
          <w:sz w:val="18"/>
        </w:rPr>
        <w:t>Calabretti I et al.  ·  Swiss Med Wkly  ·  17.06.2026  ·  PMID 42371870</w:t>
      </w:r>
    </w:p>
    <w:p>
      <w:r>
        <w:t>Analyse von sieben landesweiten Schweizer Gesundheitsumfragen (1992–2022): Trends in Gesundheit, Medikamentengebrauch, Lebensstil und Verhütungswahl bei 15- bis 49-jährigen Frauen.</w:t>
      </w:r>
    </w:p>
    <w:p>
      <w:r>
        <w:rPr>
          <w:b/>
        </w:rPr>
        <w:t xml:space="preserve">Ergebnis: </w:t>
      </w:r>
      <w:r>
        <w:t>Bildung stieg auf 35,9 % (Universitätsabschluss), Erwerbstätigenquote auf 82,6 %. BMI stieg von 21,7 auf 23,2. Psychische Gesundheitskonsultationen verdoppelten sich. Hormonelle Verhütung sank um 27,5 Punkte; IUP und Kondome stiegen. Antikonzeptiva-Mix verschob sich, ohne dass Gesamtabdeckung sank.</w:t>
      </w:r>
    </w:p>
    <w:p>
      <w:r>
        <w:rPr>
          <w:b/>
          <w:sz w:val="19"/>
        </w:rPr>
        <w:t xml:space="preserve">Übertragbarkeit: </w:t>
      </w:r>
      <w:r>
        <w:rPr>
          <w:sz w:val="19"/>
        </w:rPr>
        <w:t>Schweiz, vergleichbare Sozialversicherung mit Deutschland, verlässliche Bevölkerungsdaten</w:t>
      </w:r>
    </w:p>
    <w:p>
      <w:r>
        <w:rPr>
          <w:color w:val="5A7D3A"/>
          <w:sz w:val="18"/>
        </w:rPr>
        <w:t>https://pubmed.ncbi.nlm.nih.gov/42371870/</w:t>
      </w:r>
    </w:p>
    <w:p>
      <w:pPr>
        <w:pStyle w:val="Heading1"/>
      </w:pPr>
      <w:r>
        <w:t>Aufgenommen am 27.08.2026</w:t>
      </w:r>
    </w:p>
    <w:p>
      <w:pPr>
        <w:pStyle w:val="Heading2"/>
      </w:pPr>
      <w:r>
        <w:t>Koronare Herzkrankheit bei Frauen: Nicht-obstruktive Phänotypen erfordern andere Diagnos tik und Therapie</w:t>
      </w:r>
    </w:p>
    <w:p>
      <w:r>
        <w:rPr>
          <w:i/>
          <w:color w:val="666666"/>
          <w:sz w:val="18"/>
        </w:rPr>
        <w:t>Nastouli KM et al.  ·  Medicina (Kaunas)  ·  07.07.2026  ·  PMID 42512855</w:t>
      </w:r>
    </w:p>
    <w:p>
      <w:r>
        <w:t>Europäische Review (Autoren aus Griechenland, UK, Deutschland, Schweiz) fasst geschlechtsspezifische Pathophysiologie, Risikofaktoren, Präsentation und Management zusammen.</w:t>
      </w:r>
    </w:p>
    <w:p>
      <w:r>
        <w:rPr>
          <w:b/>
        </w:rPr>
        <w:t xml:space="preserve">Ergebnis: </w:t>
      </w:r>
      <w:r>
        <w:t>Frauen präsentieren häufiger mit nicht-obstruktiven Mustern: Angina mit nicht-obstruktiven Koronararterien (INOCA), koronare mikrovaskuläre Dysfunktion, Myokardinfarkt ohne obstruktive Koronararterien (MINOCA), spontane Koronararteriendissektion (SCAD), Takotsubo-Syndrom. Diese erfordern kardiale MRT, intrakoronare Bildgebung und Funktionsprüfung statt nur Stenose-Detektion. Frauen haben niedrigere Troponinwerte, atypische Symptome und werden deswegen verzögert diagnostiziert. Weiblich-spezifische Risikofaktoren: vorzeitige Menopause, adverse Schwangerschaftsergebnisse, Polyzystisches Ovarialsyndrom, Autoimmunerkrankungen, psychosoziale Stressoren.</w:t>
      </w:r>
    </w:p>
    <w:p>
      <w:r>
        <w:rPr>
          <w:b/>
          <w:sz w:val="19"/>
        </w:rPr>
        <w:t xml:space="preserve">Übertragbarkeit: </w:t>
      </w:r>
      <w:r>
        <w:rPr>
          <w:sz w:val="19"/>
        </w:rPr>
        <w:t>Europäische Experten, klinische Leitlinie, DACH nicht im Autorenkollektiv aber anwendbar</w:t>
      </w:r>
    </w:p>
    <w:p>
      <w:r>
        <w:rPr>
          <w:color w:val="5A7D3A"/>
          <w:sz w:val="18"/>
        </w:rPr>
        <w:t>https://pubmed.ncbi.nlm.nih.gov/42512855/</w:t>
      </w:r>
    </w:p>
    <w:p>
      <w:pPr>
        <w:pStyle w:val="Heading2"/>
      </w:pPr>
      <w:r>
        <w:t>Diskriminierungserfahrungen von Pflegestudierenden: Frauen berichten signifikant mehr</w:t>
      </w:r>
    </w:p>
    <w:p>
      <w:r>
        <w:rPr>
          <w:i/>
          <w:color w:val="666666"/>
          <w:sz w:val="18"/>
        </w:rPr>
        <w:t>Ungar N et al.  ·  Psychiatr Prax  ·  20.07.2026  ·  PMID 42476182</w:t>
      </w:r>
    </w:p>
    <w:p>
      <w:r>
        <w:t>Deutsche Onlinebefragung von 117 Pflegestudierenden prüfte, inwieweit Studierende in praktischen Einsätzen Diskriminierung erleben und welche Rolle das Geschlecht spielt.</w:t>
      </w:r>
    </w:p>
    <w:p>
      <w:r>
        <w:rPr>
          <w:b/>
        </w:rPr>
        <w:t xml:space="preserve">Ergebnis: </w:t>
      </w:r>
      <w:r>
        <w:t>Über 50% erlebten gelegentlich oder regelmäßig Diskriminierung. Weibliche Studierende berichteten signifikant höhere Diskriminierungswerte als männliche (M=4,27 vs. 2,99, p=0,001). Kein signifikanter Zusammenhang mit Geschlechtsrollenselbstkonzept. Diese Ergebnisse quantifizieren Diskriminierung in der Pflegeausbildung und belegen das Geschlecht als Risikofaktor.</w:t>
      </w:r>
    </w:p>
    <w:p>
      <w:r>
        <w:rPr>
          <w:b/>
          <w:sz w:val="19"/>
        </w:rPr>
        <w:t xml:space="preserve">Übertragbarkeit: </w:t>
      </w:r>
      <w:r>
        <w:rPr>
          <w:sz w:val="19"/>
        </w:rPr>
        <w:t>Deutschland, direkte deutsche Stichprobe, Versorgungsausbildung</w:t>
      </w:r>
    </w:p>
    <w:p>
      <w:r>
        <w:rPr>
          <w:color w:val="5A7D3A"/>
          <w:sz w:val="18"/>
        </w:rPr>
        <w:t>https://pubmed.ncbi.nlm.nih.gov/42476182/</w:t>
      </w:r>
    </w:p>
    <w:p>
      <w:pPr>
        <w:pStyle w:val="Heading2"/>
      </w:pPr>
      <w:r>
        <w:t>Körperzusammensetzung und Diabetesrisiko: Geschlechtsspezifische Fett-Muskel-Muster in der UK Biobank</w:t>
      </w:r>
    </w:p>
    <w:p>
      <w:r>
        <w:rPr>
          <w:i/>
          <w:color w:val="666666"/>
          <w:sz w:val="18"/>
        </w:rPr>
        <w:t>Ma Y et al.  ·  Diabetes  ·  01.09.2026  ·  PMID 42467557</w:t>
      </w:r>
    </w:p>
    <w:p>
      <w:r>
        <w:t>UK Biobank Daten von 258.500 Personen prüften, ob Muster von Fettverteilung und Muskelaufbau den Typ-2-Diabetes-Risikovorhersage besser erklären als alleinige Adipositas-Maße und ob dies geschlechtsspezifisch ist.</w:t>
      </w:r>
    </w:p>
    <w:p>
      <w:r>
        <w:rPr>
          <w:b/>
        </w:rPr>
        <w:t xml:space="preserve">Ergebnis: </w:t>
      </w:r>
      <w:r>
        <w:t>Über 11 Jahre: 33.636 Diabetes-Fälle. Generalisierte Adiposität erhöhte das Risiko bei Männern um Faktor 1,73 (95% CI 1,33–2,24) und Frauen um 2,21 (1,55–3,16). Bein-dominante Muskelmasse senkte das Risiko (Männer HR 0,57, Frauen HR 0,50). Zentrale Magerheit senkte Risiko nur bei Frauen (HR 0,41). Geschlechtsspezifische Beitragsmuster: zentrale Magerheit stärker bei Männern, Bein-Muskulatur stärker bei Frauen.</w:t>
      </w:r>
    </w:p>
    <w:p>
      <w:r>
        <w:rPr>
          <w:b/>
          <w:sz w:val="19"/>
        </w:rPr>
        <w:t xml:space="preserve">Übertragbarkeit: </w:t>
      </w:r>
      <w:r>
        <w:rPr>
          <w:sz w:val="19"/>
        </w:rPr>
        <w:t>UK Biobank, große Querschnittsstudie, anthropometrische Standardmessungen</w:t>
      </w:r>
    </w:p>
    <w:p>
      <w:r>
        <w:rPr>
          <w:color w:val="5A7D3A"/>
          <w:sz w:val="18"/>
        </w:rPr>
        <w:t>https://pubmed.ncbi.nlm.nih.gov/42467557/</w:t>
      </w:r>
    </w:p>
    <w:p>
      <w:pPr>
        <w:pStyle w:val="Heading2"/>
      </w:pPr>
      <w:r>
        <w:t>Herzinsuffizienz bei Frauen: Vergleichbare Langzeitprognose, unterschiedliche Präsentation</w:t>
      </w:r>
    </w:p>
    <w:p>
      <w:r>
        <w:rPr>
          <w:i/>
          <w:color w:val="666666"/>
          <w:sz w:val="18"/>
        </w:rPr>
        <w:t>Romero-Carrete C et al.  ·  Med Clin (Barc)  ·  07.07.2026  ·  PMID 42413339</w:t>
      </w:r>
    </w:p>
    <w:p>
      <w:r>
        <w:t>Spanische Routinedaten von 1.986 Herzinsuffizienz-Patienten untersuchten geschlechtsspezifische Unterschiede in Klinik und Sterblichkeit über 10 Jahre.</w:t>
      </w:r>
    </w:p>
    <w:p>
      <w:r>
        <w:rPr>
          <w:b/>
        </w:rPr>
        <w:t xml:space="preserve">Ergebnis: </w:t>
      </w:r>
      <w:r>
        <w:t>Frauen präsentierten sich mit fortgeschrittenerer NYHA-Klasse, Männer hatten niedrigere Ejektionsfraktion. Nach Anpassung: Keine signifikanten Unterschiede in der Gesamtsterblichkeit (HR Männer 1,109, p &gt; 0,05). Mortalitätsrisikofaktoren waren unabhängig vom Geschlecht: Alter≥80, NYHA III-IV, chronische Nierenerkrankung, Diabetes, koronare Erkrankung. Diese Ähnlichkeit in den Outcomes widerlegt frühereThesen ausgeprägter Geschlechtsunterschiede.</w:t>
      </w:r>
    </w:p>
    <w:p>
      <w:r>
        <w:rPr>
          <w:b/>
          <w:sz w:val="19"/>
        </w:rPr>
        <w:t xml:space="preserve">Übertragbarkeit: </w:t>
      </w:r>
      <w:r>
        <w:rPr>
          <w:sz w:val="19"/>
        </w:rPr>
        <w:t>Spanische Klinikdaten, ähnliche Versicherungssysteme wie Deutschland</w:t>
      </w:r>
    </w:p>
    <w:p>
      <w:r>
        <w:rPr>
          <w:color w:val="5A7D3A"/>
          <w:sz w:val="18"/>
        </w:rPr>
        <w:t>https://pubmed.ncbi.nlm.nih.gov/42413339/</w:t>
      </w:r>
    </w:p>
    <w:p>
      <w:pPr>
        <w:pStyle w:val="Heading2"/>
      </w:pPr>
      <w:r>
        <w:t>Vorhofflimmern und körperliche Funktion älterer Menschen: Geschlechtsspezifische Muster cerebraler Mikroinfarkte</w:t>
      </w:r>
    </w:p>
    <w:p>
      <w:r>
        <w:rPr>
          <w:i/>
          <w:color w:val="666666"/>
          <w:sz w:val="18"/>
        </w:rPr>
        <w:t>Spruit JR et al.  ·  J Am Med Dir Assoc  ·  06.07.2026  ·  PMID 42407388</w:t>
      </w:r>
    </w:p>
    <w:p>
      <w:r>
        <w:t>Niederländische Gedächtnissprechstunden-Kohorte (Amsterdam, n=1.044, Alter 79,2 Jahre) prüfte, ob zerebrale Kleingefäßerkrankung den Zusammenhang zwischen Vorhofflimmern und körperlichem Abbau erklärt und ob dies geschlechtsspezifisch ist.</w:t>
      </w:r>
    </w:p>
    <w:p>
      <w:r>
        <w:rPr>
          <w:b/>
        </w:rPr>
        <w:t xml:space="preserve">Ergebnis: </w:t>
      </w:r>
      <w:r>
        <w:t>AF-Prävalenz 15,4%. Männer mit AF: erhöhte Wahrscheinlichkeit für White-Matter-Hyperintensitäten (aOR 1,95, p&lt;0,001). Frauen mit AF: erhöhte Wahrscheinlichkeit für ≥3 zerebrale Mikroblutungen (aOR 1,94, p&lt;0,05). AF assoziiert mit Gangverlangsamung und Short Physical Performance Battery &lt;10 (aOR 2,42, p&lt;0,001), aber nicht mit Kognition. White-Matter-Hyperintensitäten mediierten die AF-Funktion-Assoziation, besonders bei Männern (B=0,57, p=0,012).</w:t>
      </w:r>
    </w:p>
    <w:p>
      <w:r>
        <w:rPr>
          <w:b/>
          <w:sz w:val="19"/>
        </w:rPr>
        <w:t xml:space="preserve">Übertragbarkeit: </w:t>
      </w:r>
      <w:r>
        <w:rPr>
          <w:sz w:val="19"/>
        </w:rPr>
        <w:t>Niederlande, vergleichbare Gesundheitssystemstruktur</w:t>
      </w:r>
    </w:p>
    <w:p>
      <w:r>
        <w:rPr>
          <w:color w:val="5A7D3A"/>
          <w:sz w:val="18"/>
        </w:rPr>
        <w:t>https://pubmed.ncbi.nlm.nih.gov/42407388/</w:t>
      </w:r>
    </w:p>
    <w:p>
      <w:pPr>
        <w:pStyle w:val="Heading2"/>
      </w:pPr>
      <w:r>
        <w:t>Anthropometrische Indizes für Schlafapnoe-Screening: Geschlechter- unterschiede verbessern Diagnostik</w:t>
      </w:r>
    </w:p>
    <w:p>
      <w:r>
        <w:rPr>
          <w:i/>
          <w:color w:val="666666"/>
          <w:sz w:val="18"/>
        </w:rPr>
        <w:t>Kalkanis A et al.  ·  Sleep Med  ·  04.07.2026  ·  PMID 42407328</w:t>
      </w:r>
    </w:p>
    <w:p>
      <w:r>
        <w:t>Europäische Schlaflabor-Routine daten (ESADA) von 10.916 Patienten prüften, welche Körpermaße mittelschwere-schwere Schlafapnoe besser identifizieren als BMI allein.</w:t>
      </w:r>
    </w:p>
    <w:p>
      <w:r>
        <w:rPr>
          <w:b/>
        </w:rPr>
        <w:t xml:space="preserve">Ergebnis: </w:t>
      </w:r>
      <w:r>
        <w:t>Bei Männern: Körperfettanteil nach Deurenberg &gt;25,94% zeigte 90,5% Sensitivität und 79,4% Genauigkeit. Bei Frauen: Körperfettanteil nach Lean &gt;43,15% zeigte 88% Sensitivität und 72,5% Genauigkeit. Beide übertroffen BMI (Männer AUC 0,715; Frauen AUC 0,681). Geschlechtsspezifische Schwellwerte ermöglichen präzisere Selektion für Heim- schlaftests.</w:t>
      </w:r>
    </w:p>
    <w:p>
      <w:r>
        <w:rPr>
          <w:b/>
          <w:sz w:val="19"/>
        </w:rPr>
        <w:t xml:space="preserve">Übertragbarkeit: </w:t>
      </w:r>
      <w:r>
        <w:rPr>
          <w:sz w:val="19"/>
        </w:rPr>
        <w:t>Europäische Routine-Polysomnographie, DACH-Länder im Netzwerk</w:t>
      </w:r>
    </w:p>
    <w:p>
      <w:r>
        <w:rPr>
          <w:color w:val="5A7D3A"/>
          <w:sz w:val="18"/>
        </w:rPr>
        <w:t>https://pubmed.ncbi.nlm.nih.gov/42407328/</w:t>
      </w:r>
    </w:p>
    <w:p>
      <w:pPr>
        <w:pStyle w:val="Heading1"/>
      </w:pPr>
      <w:r>
        <w:t>Aufgenommen am 26.08.2026</w:t>
      </w:r>
    </w:p>
    <w:p>
      <w:pPr>
        <w:pStyle w:val="Heading2"/>
      </w:pPr>
      <w:r>
        <w:t>Gestationsdiabetes und fetale Programmierung: Mädchen stärker betroffen</w:t>
      </w:r>
    </w:p>
    <w:p>
      <w:r>
        <w:rPr>
          <w:i/>
          <w:color w:val="666666"/>
          <w:sz w:val="18"/>
        </w:rPr>
        <w:t>Hatem G et al.  ·  BMC Med  ·  21.08.2026  ·  PMID 42629565</w:t>
      </w:r>
    </w:p>
    <w:p>
      <w:r>
        <w:t>Multi-omics-Kohortenstudie (Tansania, n=GDM-exponierte und Kontroll-Neugeborene) zu genetischen, epigenetischen und transkriptomischen Signaturen bei Neugeborenen von Gestationsdiabetes-Müttern mit Geschlechtsstratifizierung.</w:t>
      </w:r>
    </w:p>
    <w:p>
      <w:r>
        <w:rPr>
          <w:b/>
        </w:rPr>
        <w:t xml:space="preserve">Ergebnis: </w:t>
      </w:r>
      <w:r>
        <w:t>Mädchen zeigten stärker ausgeprägte Unterschiede: höhere anthropometrische Maße, höherer polygenetischer Score für T2D-β-Zell-Dysfunktion, erhöhtes Cord-Insulin. Differenziell exprimierte Gene: 273 bei Mädchen vs. 4 bei Jungen. Gene (SESN3, HMBS, MAN2A2) korrelierten mit Neonatalanthropometrie und Insulin, besonders bei Mädchen. Gene waren fetal-pankreaspezifisch. Biologische Programmierung zeigt geschlechtsspezifische Muster.</w:t>
      </w:r>
    </w:p>
    <w:p>
      <w:r>
        <w:rPr>
          <w:b/>
          <w:sz w:val="19"/>
        </w:rPr>
        <w:t xml:space="preserve">Übertragbarkeit: </w:t>
      </w:r>
      <w:r>
        <w:rPr>
          <w:sz w:val="19"/>
        </w:rPr>
        <w:t>Tansania (LMIC), aber biologisches Fetal-Programming universell, epigenetik grundlagenorientiert.</w:t>
      </w:r>
    </w:p>
    <w:p>
      <w:r>
        <w:rPr>
          <w:color w:val="5A7D3A"/>
          <w:sz w:val="18"/>
        </w:rPr>
        <w:t>https://pubmed.ncbi.nlm.nih.gov/42629565/</w:t>
      </w:r>
    </w:p>
    <w:p>
      <w:pPr>
        <w:pStyle w:val="Heading2"/>
      </w:pPr>
      <w:r>
        <w:t>Müttersterblichkeit im UK: Strukturelle Defizite bei Black, Asian und migrant women</w:t>
      </w:r>
    </w:p>
    <w:p>
      <w:r>
        <w:rPr>
          <w:i/>
          <w:color w:val="666666"/>
          <w:sz w:val="18"/>
        </w:rPr>
        <w:t>Bolarinwa O  ·  Int J Equity Health  ·  27.07.2026  ·  PMID 42509547</w:t>
      </w:r>
    </w:p>
    <w:p>
      <w:r>
        <w:t>Kommentar zu MBRRACE-UK-2025-Daten, der kulturelle Sensibilität in der Geburtshilfe als integralen Teil der Versorgungsgerechtigkeit rahmt – nicht als Zusatz.</w:t>
      </w:r>
    </w:p>
    <w:p>
      <w:r>
        <w:rPr>
          <w:b/>
        </w:rPr>
        <w:t xml:space="preserve">Ergebnis: </w:t>
      </w:r>
      <w:r>
        <w:t>Black, Asian und migrant women in Großbritannien erfahren beharrliche Disparitäten in Müttersterblichkeit, die in strukturellen Mängeln der Versorgung wurzeln, nicht in Differenzen zwischen Gruppen. Der Kommentar fordert Embedding von kultureller Kompetenz in nationale Leitlinien, Servicekonten und verpflichtende Schulung als Bedingung für Equity.</w:t>
      </w:r>
    </w:p>
    <w:p>
      <w:r>
        <w:rPr>
          <w:b/>
          <w:sz w:val="19"/>
        </w:rPr>
        <w:t xml:space="preserve">Übertragbarkeit: </w:t>
      </w:r>
      <w:r>
        <w:rPr>
          <w:sz w:val="19"/>
        </w:rPr>
        <w:t>UK-System, übertragbares Geschäftsmodell (verpflichtend strukturelle Änderungen statt Etikett).</w:t>
      </w:r>
    </w:p>
    <w:p>
      <w:r>
        <w:rPr>
          <w:color w:val="5A7D3A"/>
          <w:sz w:val="18"/>
        </w:rPr>
        <w:t>https://pubmed.ncbi.nlm.nih.gov/42509547/</w:t>
      </w:r>
    </w:p>
    <w:p>
      <w:pPr>
        <w:pStyle w:val="Heading1"/>
      </w:pPr>
      <w:r>
        <w:t>Aufgenommen am 24.08.2026</w:t>
      </w:r>
    </w:p>
    <w:p>
      <w:pPr>
        <w:pStyle w:val="Heading2"/>
      </w:pPr>
      <w:r>
        <w:t>HPV-Screening bei transmanischen Personen: Selbst gewonnene Urinprobe akzeptabel und praktikabel</w:t>
      </w:r>
    </w:p>
    <w:p>
      <w:r>
        <w:rPr>
          <w:i/>
          <w:color w:val="666666"/>
          <w:sz w:val="18"/>
        </w:rPr>
        <w:t>Vervalcke J et al.  ·  Eur J Obstet Gynecol Reprod Biol  ·  30.07.2026  ·  PMID 42541966</w:t>
      </w:r>
    </w:p>
    <w:p>
      <w:r>
        <w:t>Proof-of-Concept-Studie an 19 transmanischen Personen mit Zervix prüfte Akzeptabilität und Machbarkeit selbst gewonnener HPV-Tests zur Überwindung von Barrieren beim Zervixkrebsscreening.</w:t>
      </w:r>
    </w:p>
    <w:p>
      <w:r>
        <w:rPr>
          <w:b/>
        </w:rPr>
        <w:t xml:space="preserve">Ergebnis: </w:t>
      </w:r>
      <w:r>
        <w:t>94,7 % (18/19) betrachteten Selbstprobennahme als wertvoll, 84,2 % (16/19) bevorzugten Urin- gegenüber vaginaler Probe. HPV-Positivität in 2/17 Urinproben und 3/17 Vaginalproben nachgewiesen (Genotypen 53, 66). Kein unerwünschtes Ereignis berichtet.</w:t>
      </w:r>
    </w:p>
    <w:p>
      <w:r>
        <w:rPr>
          <w:b/>
          <w:sz w:val="19"/>
        </w:rPr>
        <w:t xml:space="preserve">Übertragbarkeit: </w:t>
      </w:r>
      <w:r>
        <w:rPr>
          <w:sz w:val="19"/>
        </w:rPr>
        <w:t>Belgien, europäisches Gesundheitssystem; zeigt Zugangsbarriere bei einer unterversorgten Population und pragmatische Lösung.</w:t>
      </w:r>
    </w:p>
    <w:p>
      <w:r>
        <w:rPr>
          <w:color w:val="5A7D3A"/>
          <w:sz w:val="18"/>
        </w:rPr>
        <w:t>https://pubmed.ncbi.nlm.nih.gov/42541966/</w:t>
      </w:r>
    </w:p>
    <w:p>
      <w:pPr>
        <w:pStyle w:val="Heading1"/>
      </w:pPr>
      <w:r>
        <w:t>Aufgenommen am 23.08.2026</w:t>
      </w:r>
    </w:p>
    <w:p>
      <w:pPr>
        <w:pStyle w:val="Heading2"/>
      </w:pPr>
      <w:r>
        <w:t>Luftqualität und niedriges Geburtsgewicht: Verbesserung der Luftqualität würde bei Müttern mit niedriger Schulbildung mehr Fälle verhindern</w:t>
      </w:r>
    </w:p>
    <w:p>
      <w:r>
        <w:rPr>
          <w:i/>
          <w:color w:val="666666"/>
          <w:sz w:val="18"/>
        </w:rPr>
        <w:t>Sieber S et al.  ·  Int J Epidemiol  ·  24.06.2026  ·  PMID 42470137</w:t>
      </w:r>
    </w:p>
    <w:p>
      <w:r>
        <w:t>Bevölkerungsgestützte Studie aus Spanien mit 1,4 Millionen Geburten 2010–2018, Analyse der Assoziation zwischen Feinstaubexposition (PM2,5, NO₂) und Niedriges-Geburtsgewicht, stratifiziert nach mütterlicher Schulbildung.</w:t>
      </w:r>
    </w:p>
    <w:p>
      <w:r>
        <w:rPr>
          <w:b/>
        </w:rPr>
        <w:t xml:space="preserve">Ergebnis: </w:t>
      </w:r>
      <w:r>
        <w:t>Ein Anstieg von 10 µg/m³ PM2,5 war mit 6 % höheren Chancen für niedriges Geburtsgewicht assoziiert (95 %-KI 0–11 %), NO₂ mit 1 % (95 %-KI 0–3 %). Mütter mit Primarschule zeigten höchstes Risiko (OR 1,76, 95 %-KI 1,71–1,82 gegenüber tertiärer Bildung). Die primäre Schulbildungsgruppe erfuhr die größten relativen Risikreduktionen unter Luftqualitäts-Interventionsszenarien. Soziale Determinanten (Bildung) waren stärker als Luftqualität allein.</w:t>
      </w:r>
    </w:p>
    <w:p>
      <w:r>
        <w:rPr>
          <w:b/>
          <w:sz w:val="19"/>
        </w:rPr>
        <w:t xml:space="preserve">Übertragbarkeit: </w:t>
      </w:r>
      <w:r>
        <w:rPr>
          <w:sz w:val="19"/>
        </w:rPr>
        <w:t>Spanien, europäisches Gesundheitssystem mit Routinedaten zu Geburten; Luftqualität und Bildung sind soziale, nicht biologische Erklärung.</w:t>
      </w:r>
    </w:p>
    <w:p>
      <w:r>
        <w:rPr>
          <w:color w:val="5A7D3A"/>
          <w:sz w:val="18"/>
        </w:rPr>
        <w:t>https://pubmed.ncbi.nlm.nih.gov/42470137/</w:t>
      </w:r>
    </w:p>
    <w:p>
      <w:pPr>
        <w:pStyle w:val="Heading2"/>
      </w:pPr>
      <w:r>
        <w:t>Herzinfarkt im erwerbstätigen Alter: Frauen zeigen stärkere Assoziationen mit psychischen Komorbiditäten als Männer</w:t>
      </w:r>
    </w:p>
    <w:p>
      <w:r>
        <w:rPr>
          <w:i/>
          <w:color w:val="666666"/>
          <w:sz w:val="18"/>
        </w:rPr>
        <w:t>Checa C et al.  ·  BMJ Open  ·  17.07.2026  ·  PMID 42468957</w:t>
      </w:r>
    </w:p>
    <w:p>
      <w:r>
        <w:t>Bevölkerungsbasierte Querschnittstudie aus Spanien mit 80 MI-Fällen unter 400 Erwerbstätigen (2020) zur Untersuchung von Geschlechtsunterschieden in Assoziation mit Risikofaktoren.</w:t>
      </w:r>
    </w:p>
    <w:p>
      <w:r>
        <w:rPr>
          <w:b/>
        </w:rPr>
        <w:t xml:space="preserve">Ergebnis: </w:t>
      </w:r>
      <w:r>
        <w:t>MI betraf überwiegend Männer (74,2 %). Bei Frauen waren Depression (OR 6,75, 95 %-KI 2,23–20,4), Adipositas (OR 6,36, 95 %-KI 1,62–24,9) und COPD (OR 27,7, 95 %-KI 4,21–749) stärker mit MI assoziiert; bei Männern Angststörungen (OR 8,65, 95 %-KI 3,09–26,8) und Hypertonie (OR 4,11, 95 %-KI 2,24–7,62). Der Unterschied liegt in unterschiedlichen Komorbiditätsmustern, nicht in Beschäftigungsfaktoren.</w:t>
      </w:r>
    </w:p>
    <w:p>
      <w:r>
        <w:rPr>
          <w:b/>
          <w:sz w:val="19"/>
        </w:rPr>
        <w:t xml:space="preserve">Übertragbarkeit: </w:t>
      </w:r>
      <w:r>
        <w:rPr>
          <w:sz w:val="19"/>
        </w:rPr>
        <w:t>Spanien, europäisches Versicherungssystem vergleichbar mit Deutschland; populationsgestützte Daten mit Geschlechtsstratifikation.</w:t>
      </w:r>
    </w:p>
    <w:p>
      <w:r>
        <w:rPr>
          <w:color w:val="5A7D3A"/>
          <w:sz w:val="18"/>
        </w:rPr>
        <w:t>https://pubmed.ncbi.nlm.nih.gov/42468957/</w:t>
      </w:r>
    </w:p>
    <w:p>
      <w:pPr>
        <w:pStyle w:val="Heading1"/>
      </w:pPr>
      <w:r>
        <w:t>Aufgenommen am 21.08.2026</w:t>
      </w:r>
    </w:p>
    <w:p>
      <w:pPr>
        <w:pStyle w:val="Heading2"/>
      </w:pPr>
      <w:r>
        <w:t>Migrantenstatut beeinflusst Spezialistenzugang unterschiedlich nach Geschlecht in Spanien</w:t>
      </w:r>
    </w:p>
    <w:p>
      <w:r>
        <w:rPr>
          <w:i/>
          <w:color w:val="666666"/>
          <w:sz w:val="18"/>
        </w:rPr>
        <w:t>Lopez-de-Andres A et al.  ·  Front Public Health  ·  05.08.2026  ·  PMID 42621034</w:t>
      </w:r>
    </w:p>
    <w:p>
      <w:r>
        <w:t>Bevölkerungsbasierte Matched-Analyse der spanischen Gesundheitsumfrage 2023 zu Geschlechtsunterschieden im Versorgungszugang zwischen Migranten und im Land Geborenen (N=5.044).</w:t>
      </w:r>
    </w:p>
    <w:p>
      <w:r>
        <w:rPr>
          <w:b/>
        </w:rPr>
        <w:t xml:space="preserve">Ergebnis: </w:t>
      </w:r>
      <w:r>
        <w:t>Migranten zeigten weniger Facharztzugang, Psychologen, Physiotherapie und Zahnpflege. Nach voller Adjustierung blieb Migranten-Status nicht mit Primärversorgung assoziiert; Unterschiede bei Spezialistenbesuchen aber persistent (Männer aOR 1,28; Frauen aOR 1,31). Ungleichheiten in Prävention waren bei Frauen ausgeprägter. Soziodemografische Faktoren, Komorbiditäten und Lebensstil erklärten teilweise, nicht vollständig.</w:t>
      </w:r>
    </w:p>
    <w:p>
      <w:r>
        <w:rPr>
          <w:b/>
          <w:sz w:val="19"/>
        </w:rPr>
        <w:t xml:space="preserve">Übertragbarkeit: </w:t>
      </w:r>
      <w:r>
        <w:rPr>
          <w:sz w:val="19"/>
        </w:rPr>
        <w:t>Spanien, ähnliches Versicherungssystem wie Deutschland</w:t>
      </w:r>
    </w:p>
    <w:p>
      <w:r>
        <w:rPr>
          <w:color w:val="5A7D3A"/>
          <w:sz w:val="18"/>
        </w:rPr>
        <w:t>https://pubmed.ncbi.nlm.nih.gov/42621034/</w:t>
      </w:r>
    </w:p>
    <w:p>
      <w:pPr>
        <w:pStyle w:val="Heading2"/>
      </w:pPr>
      <w:r>
        <w:t>Kumulative soziale Benachteiligung wirkt stärker auf Männersterblichkeit, trifft junge Frauen früher</w:t>
      </w:r>
    </w:p>
    <w:p>
      <w:r>
        <w:rPr>
          <w:i/>
          <w:color w:val="666666"/>
          <w:sz w:val="18"/>
        </w:rPr>
        <w:t>Worede DT et al.  ·  BMC Public Health  ·  03.08.2026  ·  PMID 42547865</w:t>
      </w:r>
    </w:p>
    <w:p>
      <w:r>
        <w:t>28-Jahres-Längsschnittstudie des Sozio-Oekonomischen Panels (SOEP 1996–2023) zur Geschlechtsinteraktion zwischen sozialer Benachteiligung und Mortalität (N=112.006 Erwachsene, 660.480 Person-Wellen, 4.974 Todesfälle).</w:t>
      </w:r>
    </w:p>
    <w:p>
      <w:r>
        <w:rPr>
          <w:b/>
        </w:rPr>
        <w:t xml:space="preserve">Ergebnis: </w:t>
      </w:r>
      <w:r>
        <w:t>Kumulative soziale Benachteiligung erhöhte Mortalitätsrisiko bei beiden: Frauen +13% pro Jahr (HR 1,13; KI 1,07–1,19 bei 50 J.); Steigung steiler bei Männern (+15%, Interaktion HR 1,02; KI 1,01–1,04). Alter modulierte: Effekt attenuiert mit steigendem Alter, aber gradueller bei Männern. Life-stage-Effekte: Frauen 16–29 J. stärker (HR 1,34; KI 1,05–1,71); Männer 45+ J. (mid: 1,13; late: 1,14). Biologie versus Zugang nicht differenziert.</w:t>
      </w:r>
    </w:p>
    <w:p>
      <w:r>
        <w:rPr>
          <w:b/>
          <w:sz w:val="19"/>
        </w:rPr>
        <w:t xml:space="preserve">Übertragbarkeit: </w:t>
      </w:r>
      <w:r>
        <w:rPr>
          <w:sz w:val="19"/>
        </w:rPr>
        <w:t>Deutschland, SOEP-Daten hoher Qualität</w:t>
      </w:r>
    </w:p>
    <w:p>
      <w:r>
        <w:rPr>
          <w:color w:val="5A7D3A"/>
          <w:sz w:val="18"/>
        </w:rPr>
        <w:t>https://pubmed.ncbi.nlm.nih.gov/42547865/</w:t>
      </w:r>
    </w:p>
    <w:p>
      <w:pPr>
        <w:pStyle w:val="Heading2"/>
      </w:pPr>
      <w:r>
        <w:t>Geschlechtsunterschiede in psychiatrischen Symptomprofilen verschwinden nicht beim Übergang in Erwachsenenversorgung</w:t>
      </w:r>
    </w:p>
    <w:p>
      <w:r>
        <w:rPr>
          <w:i/>
          <w:color w:val="666666"/>
          <w:sz w:val="18"/>
        </w:rPr>
        <w:t>D'Addazio M et al.  ·  BMJ Ment Health  ·  21.07.2026  ·  PMID 42481172</w:t>
      </w:r>
    </w:p>
    <w:p>
      <w:r>
        <w:t>Europäische Kohortenstudie (MILESTONE) mit 1.004 Adoleszenten (17–19 J.) über 24 Monate zum Geschlechtsunterschied in psychischen Symptomen und Funktionsfähigkeit beim CAMHS–AMHS-Übergang.</w:t>
      </w:r>
    </w:p>
    <w:p>
      <w:r>
        <w:rPr>
          <w:b/>
        </w:rPr>
        <w:t xml:space="preserve">Ergebnis: </w:t>
      </w:r>
      <w:r>
        <w:t>Männer zeigten durchgehend höhere Symptombelastung (insbes. Angststörung/ASD, ED/OCD, Schizophrenie) und schlechtere Funktionsfähigkeit. Frauen hatten bessere adaptive Outcomes. Unterschiede in Symptomprofilen persistierten über 2 Jahre; Männer stärker in externalisierten, Frauen in internalisierten Symptomen. Risiken weiblicher und männlicher Fehldiagnosen (ADHD/ASD bei Frauen, ED bei Männern) benannt.</w:t>
      </w:r>
    </w:p>
    <w:p>
      <w:r>
        <w:rPr>
          <w:b/>
          <w:sz w:val="19"/>
        </w:rPr>
        <w:t xml:space="preserve">Übertragbarkeit: </w:t>
      </w:r>
      <w:r>
        <w:rPr>
          <w:sz w:val="19"/>
        </w:rPr>
        <w:t>Mehrländer-europäische Daten, vergleichbare Gesundheitssysteme</w:t>
      </w:r>
    </w:p>
    <w:p>
      <w:r>
        <w:rPr>
          <w:color w:val="5A7D3A"/>
          <w:sz w:val="18"/>
        </w:rPr>
        <w:t>https://pubmed.ncbi.nlm.nih.gov/42481172/</w:t>
      </w:r>
    </w:p>
    <w:p>
      <w:pPr>
        <w:pStyle w:val="Heading1"/>
      </w:pPr>
      <w:r>
        <w:t>Aufgenommen am 20.08.2026</w:t>
      </w:r>
    </w:p>
    <w:p>
      <w:pPr>
        <w:pStyle w:val="Heading2"/>
      </w:pPr>
      <w:r>
        <w:t>Hirngefäßverschluss nach Subarachnoidalblutung: Frauen mit erhöhter Sterblichkeit</w:t>
      </w:r>
    </w:p>
    <w:p>
      <w:r>
        <w:rPr>
          <w:i/>
          <w:color w:val="666666"/>
          <w:sz w:val="18"/>
        </w:rPr>
        <w:t>Janssen H et al.  ·  Eur Stroke J  ·  05.08.2026  ·  PMID 42593950</w:t>
      </w:r>
    </w:p>
    <w:p>
      <w:r>
        <w:t>Britische Bevölkerungskohortenstudie an 990 Patienten mit aneurysmatischer Subarachnoidalblutung über Routinedaten der National Death Registries, zur Klärung des Geschlechtergefälles in der 90-Tages-Sterblichkeit.</w:t>
      </w:r>
    </w:p>
    <w:p>
      <w:r>
        <w:rPr>
          <w:b/>
        </w:rPr>
        <w:t xml:space="preserve">Ergebnis: </w:t>
      </w:r>
      <w:r>
        <w:t>Frauen zeigten erhöhte unadjustierte 90-Tages-Sterblichkeit (33,8% vs. 27,5%, OR 1,34; 95% KI: 1,01–1,78). Nach Anpassung für Alter und Baseline-Komorbiditäten (Hypertonie, Rauchen) reduzierte sich der Unterschied deutlich (HR 1,15; 95% KI: 0,90–1,49). Der Geschlechterunterschied ist teilweise durch höheres Alter und ungünstigere Risikofaktorenprofile bei Frauen erklärbar.</w:t>
      </w:r>
    </w:p>
    <w:p>
      <w:r>
        <w:rPr>
          <w:b/>
          <w:sz w:val="19"/>
        </w:rPr>
        <w:t xml:space="preserve">Übertragbarkeit: </w:t>
      </w:r>
      <w:r>
        <w:rPr>
          <w:sz w:val="19"/>
        </w:rPr>
        <w:t>UK-Daten mit ähnlich guten Registrierungssystemen wie Deutschland; biologische und Zugangsaspekte klären sich auf.</w:t>
      </w:r>
    </w:p>
    <w:p>
      <w:r>
        <w:rPr>
          <w:color w:val="5A7D3A"/>
          <w:sz w:val="18"/>
        </w:rPr>
        <w:t>https://pubmed.ncbi.nlm.nih.gov/42593950/</w:t>
      </w:r>
    </w:p>
    <w:p>
      <w:pPr>
        <w:pStyle w:val="Heading2"/>
      </w:pPr>
      <w:r>
        <w:t>Resistin und Rauchen als Depressionsrisiko: Geschlechtsspezifische Wechselwirkung</w:t>
      </w:r>
    </w:p>
    <w:p>
      <w:r>
        <w:rPr>
          <w:i/>
          <w:color w:val="666666"/>
          <w:sz w:val="18"/>
        </w:rPr>
        <w:t>von Zimmermann C et al.  ·  BMC Psychiatry  ·  29.07.2026  ·  PMID 42552525</w:t>
      </w:r>
    </w:p>
    <w:p>
      <w:r>
        <w:t>Deutsche Querschnittstudie an 379 Personen mit ausgeglichenem Geschlechterverhältnis zur Prüfung, ob Resistin und Rauchen mit Depressionsschwere geschlechtsabhängig assoziiert sind.</w:t>
      </w:r>
    </w:p>
    <w:p>
      <w:r>
        <w:rPr>
          <w:b/>
        </w:rPr>
        <w:t xml:space="preserve">Ergebnis: </w:t>
      </w:r>
      <w:r>
        <w:t>Höhere Resistin-Konzentrationen erhöhten das Depressionsrisiko geschlechts- und rauchabhängig, mit stärkster Wirkung bei rauchenden und Ex-raucherinnen (weibliches Rauchen als stärkster Effektmodifikator). Rauchen und Adipositas sind bei Frauen stärkere Depressionsrisikofaktoren als bei Männern.</w:t>
      </w:r>
    </w:p>
    <w:p>
      <w:r>
        <w:rPr>
          <w:b/>
          <w:sz w:val="19"/>
        </w:rPr>
        <w:t xml:space="preserve">Übertragbarkeit: </w:t>
      </w:r>
      <w:r>
        <w:rPr>
          <w:sz w:val="19"/>
        </w:rPr>
        <w:t>Deutsche Studie, AWMF-Leitlinien zur Depression noch wenig geschlechtsdifferenziert – praktische Signifikanz für Screening und Prävention unklar.</w:t>
      </w:r>
    </w:p>
    <w:p>
      <w:r>
        <w:rPr>
          <w:color w:val="5A7D3A"/>
          <w:sz w:val="18"/>
        </w:rPr>
        <w:t>https://pubmed.ncbi.nlm.nih.gov/42552525/</w:t>
      </w:r>
    </w:p>
    <w:p>
      <w:pPr>
        <w:pStyle w:val="Heading2"/>
      </w:pPr>
      <w:r>
        <w:t>Kopfschmerz in der Notaufnahme: Unterschied in Triage und Diagnostik bei Männern und Frauen</w:t>
      </w:r>
    </w:p>
    <w:p>
      <w:r>
        <w:rPr>
          <w:i/>
          <w:color w:val="666666"/>
          <w:sz w:val="18"/>
        </w:rPr>
        <w:t>Angerhöfer C et al.  ·  Cephalalgia  ·  22.07.2026  ·  PMID 42484557</w:t>
      </w:r>
    </w:p>
    <w:p>
      <w:r>
        <w:t>Berliner Universitätsklinik beobachtete 1.825 Kopfschmerzpatienten (61,9% Frauen) über zwei Jahre, um Unterschiede in Triage-Kategorie, diagnostischen Verfahren und Diagnosen zu dokumentieren.</w:t>
      </w:r>
    </w:p>
    <w:p>
      <w:r>
        <w:rPr>
          <w:b/>
        </w:rPr>
        <w:t xml:space="preserve">Ergebnis: </w:t>
      </w:r>
      <w:r>
        <w:t>Frauen erhielten häufiger Triage-Kategorien mit höherer Dringlichkeit; Männer wiesen jedoch höhere Quote an ernsthaften Sekundärdiagnosen auf (OR 1,54; 95% KI: 1,08–2,19). Männer erhielten seltener cMRT (aOR 0,48; 95% KI: 0,26–0,90). Frauen bekamen häufiger wiederholte Analgetika und Antiemetika. Kein Hinweis auf systematische Verzögerungen der Versorgung.</w:t>
      </w:r>
    </w:p>
    <w:p>
      <w:r>
        <w:rPr>
          <w:b/>
          <w:sz w:val="19"/>
        </w:rPr>
        <w:t xml:space="preserve">Übertragbarkeit: </w:t>
      </w:r>
      <w:r>
        <w:rPr>
          <w:sz w:val="19"/>
        </w:rPr>
        <w:t>Deutsche Primärdaten, Charité-System; Triageverzerrung (Frauen überschätzt, Männer unterschätzt) zeigt Versorgungsungleichheit durch Attribution, nicht biologisch erklärt.</w:t>
      </w:r>
    </w:p>
    <w:p>
      <w:r>
        <w:rPr>
          <w:color w:val="5A7D3A"/>
          <w:sz w:val="18"/>
        </w:rPr>
        <w:t>https://pubmed.ncbi.nlm.nih.gov/42484557/</w:t>
      </w:r>
    </w:p>
    <w:p>
      <w:pPr>
        <w:pStyle w:val="Heading2"/>
      </w:pPr>
      <w:r>
        <w:t>Spondylarthritis: Frauen mit stärkerer Funktionsverschlechterung über 17 Jahre</w:t>
      </w:r>
    </w:p>
    <w:p>
      <w:r>
        <w:rPr>
          <w:i/>
          <w:color w:val="666666"/>
          <w:sz w:val="18"/>
        </w:rPr>
        <w:t>Moldovan DMM et al.  ·  RMD Open  ·  15.07.2026  ·  PMID 42457212</w:t>
      </w:r>
    </w:p>
    <w:p>
      <w:r>
        <w:t>Spanische Longitudinalstudie REGISPON-3 mit 411 Spondylarthritispatienten (2004–2024) zum Vergleich geschlechtsspezifischer funktionaler Verschlechterung und Arbeitsunfähigkeit.</w:t>
      </w:r>
    </w:p>
    <w:p>
      <w:r>
        <w:rPr>
          <w:b/>
        </w:rPr>
        <w:t xml:space="preserve">Ergebnis: </w:t>
      </w:r>
      <w:r>
        <w:t>Nach 17 Jahren: Frauen zeigten signifikant stärkere Funktionsverschlechterung (ΔBASFI 1,47±2,81 vs. 0,38±2,57, p&lt;0,001), während permanente Arbeitsunfähigkeit ähnlich blieb (27,1% vs. 32,1%, p=0,31). Der Zusammenhang zwischen bDMARD-Exposition und Funktionsverschlechterung durch CRP-Vermittlung war bei Männern, nicht bei Frauen signifikant (sex-signifikante Interaktion).</w:t>
      </w:r>
    </w:p>
    <w:p>
      <w:r>
        <w:rPr>
          <w:b/>
          <w:sz w:val="19"/>
        </w:rPr>
        <w:t xml:space="preserve">Übertragbarkeit: </w:t>
      </w:r>
      <w:r>
        <w:rPr>
          <w:sz w:val="19"/>
        </w:rPr>
        <w:t>Südeuropa, ähnliche Sozialversicherung wie Deutschland; Befund deutet auf biologische Geschlechterdifferenz in Entzündungsmodulation hin, nicht auf Zugangsunterschiede.</w:t>
      </w:r>
    </w:p>
    <w:p>
      <w:r>
        <w:rPr>
          <w:color w:val="5A7D3A"/>
          <w:sz w:val="18"/>
        </w:rPr>
        <w:t>https://pubmed.ncbi.nlm.nih.gov/42457212/</w:t>
      </w:r>
    </w:p>
    <w:p>
      <w:pPr>
        <w:pStyle w:val="Heading2"/>
      </w:pPr>
      <w:r>
        <w:t>Krebs in der Schweiz: Frauen berichten schlechtere Versorgungserfahrungen als Männer</w:t>
      </w:r>
    </w:p>
    <w:p>
      <w:r>
        <w:rPr>
          <w:i/>
          <w:color w:val="666666"/>
          <w:sz w:val="18"/>
        </w:rPr>
        <w:t>Pernoud A et al.  ·  BMJ Open  ·  13.07.2026  ·  PMID 42442810</w:t>
      </w:r>
    </w:p>
    <w:p>
      <w:r>
        <w:t>Schweizer Multicenterstudie mit 4.408 Krebspatienten (non-sex-specific cancers) zu geschlechtsspezifischen Unterschieden in Patientenerfahrung über den gesamten Versorgungspfad.</w:t>
      </w:r>
    </w:p>
    <w:p>
      <w:r>
        <w:rPr>
          <w:b/>
        </w:rPr>
        <w:t xml:space="preserve">Ergebnis: </w:t>
      </w:r>
      <w:r>
        <w:t>Frauen bewerteten Gesamtbehandlung niedriger (8,9 vs. 9,1, p&lt;0,001; aOR für hohes Rating 0,74; 95% KI: 0,62–0,87). Frauen berichteten geringere Wahrscheinlichkeit für Therapieplan (aOR 0,69; 95% KI: 0,59–0,82) und unzureichende Information vor Operation (aOR 0,42; 95% KI: 0,27–0,67). Konsistente Muster: Frauen erhielten weniger Kommunikation, Information und Unterstützung; Männer mehr unnötige Testwiederholungen.</w:t>
      </w:r>
    </w:p>
    <w:p>
      <w:r>
        <w:rPr>
          <w:b/>
          <w:sz w:val="19"/>
        </w:rPr>
        <w:t xml:space="preserve">Übertragbarkeit: </w:t>
      </w:r>
      <w:r>
        <w:rPr>
          <w:sz w:val="19"/>
        </w:rPr>
        <w:t>Schweiz, vergleichbare Sozialversicherung wie Deutschland; zeigt systematischen Zugangs- und Kommunikationsunterschied, nicht biologisch bedingt – direkt verbesserbar durch Prozessreform.</w:t>
      </w:r>
    </w:p>
    <w:p>
      <w:r>
        <w:rPr>
          <w:color w:val="5A7D3A"/>
          <w:sz w:val="18"/>
        </w:rPr>
        <w:t>https://pubmed.ncbi.nlm.nih.gov/42442810/</w:t>
      </w:r>
    </w:p>
    <w:p>
      <w:pPr>
        <w:pStyle w:val="Heading2"/>
      </w:pPr>
      <w:r>
        <w:t>Depression in 30 europäischen Ländern: Geschlecht, Migration und Bildung schlagen Depressionsrisiko additiv</w:t>
      </w:r>
    </w:p>
    <w:p>
      <w:r>
        <w:rPr>
          <w:i/>
          <w:color w:val="666666"/>
          <w:sz w:val="18"/>
        </w:rPr>
        <w:t>von dem Knesebeck O et al.  ·  BMC Public Health  ·  10.07.2026  ·  PMID 42432638</w:t>
      </w:r>
    </w:p>
    <w:p>
      <w:r>
        <w:t>Querschnittsanalyse der European Social Survey (Round 11, n=50.116) zu intersektionalen Ungleichheiten in depressiven Symptomen nach Geschlecht, Migrationsstatus und Bildung mittels MAIHDA.</w:t>
      </w:r>
    </w:p>
    <w:p>
      <w:r>
        <w:rPr>
          <w:b/>
        </w:rPr>
        <w:t xml:space="preserve">Ergebnis: </w:t>
      </w:r>
      <w:r>
        <w:t>Frauen und Personen mit niedriger Bildung zeigten signifikant mehr depressive Symptome über alle Länder. Unterschied zwischen höchster (Frauen + Migrationshintergrund + niedrige Bildung: HR 1,34; 95% KI: 1,05–1,71) und niedrigster Risikostrata (Männer + hohe Bildung + kein Migrationshintergrund) war additiv, nicht interaktiv. Geschlecht und Bildung trugen am stärksten bei.</w:t>
      </w:r>
    </w:p>
    <w:p>
      <w:r>
        <w:rPr>
          <w:b/>
          <w:sz w:val="19"/>
        </w:rPr>
        <w:t xml:space="preserve">Übertragbarkeit: </w:t>
      </w:r>
      <w:r>
        <w:rPr>
          <w:sz w:val="19"/>
        </w:rPr>
        <w:t>30 europäische Länder einschließlich Deutschland; Routine-Survey mit Selbstauskünften; zeigt Zugangs- und Attributionsmuster, nicht primär biologische Unterschiede.</w:t>
      </w:r>
    </w:p>
    <w:p>
      <w:r>
        <w:rPr>
          <w:color w:val="5A7D3A"/>
          <w:sz w:val="18"/>
        </w:rPr>
        <w:t>https://pubmed.ncbi.nlm.nih.gov/42432638/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Geschlecht und Gesundheit</dc:title>
  <dc:subject/>
  <dc:creator>Monitor Versorgungsforschung</dc:creator>
  <cp:keywords/>
  <dc:description>generated by python-docx</dc:description>
  <cp:lastModifiedBy/>
  <cp:revision>1</cp:revision>
  <dcterms:created xsi:type="dcterms:W3CDTF">2026-09-29T06:00:00Z</dcterms:created>
  <dcterms:modified xsi:type="dcterms:W3CDTF">2026-09-29T06:00:00Z</dcterms:modified>
  <cp:category/>
</cp:coreProperties>
</file>