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10.09.2026  |  7 Studien  |  gender.m-vf.de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Psychische Belastung älterer Inder: Geschlecht, chronische Krankheit und ihre Wechselwirkung</w:t>
      </w:r>
    </w:p>
    <w:p>
      <w:r>
        <w:rPr>
          <w:i/>
          <w:color w:val="666666"/>
          <w:sz w:val="18"/>
        </w:rPr>
        <w:t>Bharti A et al.  ·  J Cross Cult Gerontol  ·  09.09.2026  ·  PMID 42714712</w:t>
      </w:r>
    </w:p>
    <w:p>
      <w:r>
        <w:t>2×2-faktorielles Design mit 136 von 200 Älteren (68%) aus Bihar, Indien, gescreent auf psychische Belastung (GHQ-12) nach Geschlecht und Gesundheitsstatus (gesund vs. chronisch krank).</w:t>
      </w:r>
    </w:p>
    <w:p>
      <w:r>
        <w:rPr>
          <w:b/>
        </w:rPr>
        <w:t xml:space="preserve">Ergebnis: </w:t>
      </w:r>
      <w:r>
        <w:t>Psychische Belastung bei 68% der Stichprobe. Signifikante Effekte für Geschlecht [F(1,132)=14,90], Gesundheitsstatus [F(1,132)=55,73] und Interaktion [F(1,132)=14,45]. Frauen mit chronischen Erkrankungen besonders belastet; Ergebnis unterstreicht Bedarf für geriatrische Psychiatrie in Indien.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limitierte Übertragbarkeit auf deutsches System</w:t>
      </w:r>
    </w:p>
    <w:p>
      <w:r>
        <w:rPr>
          <w:color w:val="5A7D3A"/>
          <w:sz w:val="18"/>
        </w:rPr>
        <w:t>https://pubmed.ncbi.nlm.nih.gov/42714712/</w:t>
      </w:r>
    </w:p>
    <w:p>
      <w:pPr>
        <w:pStyle w:val="Heading2"/>
      </w:pPr>
      <w:r>
        <w:t>Geschlechtsspezifische Unterschiede in oralen Erkrankungen</w:t>
      </w:r>
    </w:p>
    <w:p>
      <w:r>
        <w:rPr>
          <w:i/>
          <w:color w:val="666666"/>
          <w:sz w:val="18"/>
        </w:rPr>
        <w:t>Fetchko E et al.  ·  Clin Exp Dent Res  ·  Okt. 2026  ·  PMID 42709938</w:t>
      </w:r>
    </w:p>
    <w:p>
      <w:r>
        <w:t>Retrospektive EHR-Analyse von 254.700 Personen (NIH All of Us) und 4,7 Mio. Zahnpatienten (BigMouth) auf Geschlechtsunterschiede in Mund-, Zahn- und kraniofazialen Erkrankungen.</w:t>
      </w:r>
    </w:p>
    <w:p>
      <w:r>
        <w:rPr>
          <w:b/>
        </w:rPr>
        <w:t xml:space="preserve">Ergebnis: </w:t>
      </w:r>
      <w:r>
        <w:t>61 von 87 untersuchten Konzepten (70%) zeigten signifikante Geschlechtsunterschiede: 33 (54%) Frauenbias, 28 (46%) Männerbias. BigMouth: 90 von 230 (39%) mit Bias, davon 97% Frauenbias. Unterschiede über alle Altersgruppen.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reines Deskriptionswerk ohne Ursachen-Erklärung</w:t>
      </w:r>
    </w:p>
    <w:p>
      <w:r>
        <w:rPr>
          <w:color w:val="5A7D3A"/>
          <w:sz w:val="18"/>
        </w:rPr>
        <w:t>https://pubmed.ncbi.nlm.nih.gov/42709938/</w:t>
      </w:r>
    </w:p>
    <w:p>
      <w:pPr>
        <w:pStyle w:val="Heading2"/>
      </w:pPr>
      <w:r>
        <w:t>Bildschirmzeit reduziert kardiorespiratorische Fitness bei Jungen</w:t>
      </w:r>
    </w:p>
    <w:p>
      <w:r>
        <w:rPr>
          <w:i/>
          <w:color w:val="666666"/>
          <w:sz w:val="18"/>
        </w:rPr>
        <w:t>Badrić M et al.  ·  Front Public Health  ·  21.08.2026  ·  PMID 42698608</w:t>
      </w:r>
    </w:p>
    <w:p>
      <w:r>
        <w:t>Querschnittsstudie von 306 kroatischen Schulkindern (163 Mädchen, 143 Jungen, 9,89 Jahre) zur Assoziation zwischen Bildschirmzeit und VO2max (geschätzt aus 20-m-Shuttlerun) unter Kontrolle für Gesamtaktivität.</w:t>
      </w:r>
    </w:p>
    <w:p>
      <w:r>
        <w:rPr>
          <w:b/>
        </w:rPr>
        <w:t xml:space="preserve">Ergebnis: </w:t>
      </w:r>
      <w:r>
        <w:t>Signifikanter Haupteffekt Bildschirmzeit auf VO2max [F(2,299)=6,40; p&lt;0,001; η²=0,04]. Signifikante Interaktion Geschlecht×Bildschirmzeit [F(2,299)=4,47; p=0,01; η²=0,03]: Hohe Bildschirmzeit korrelierte mit niedrigerem VO2max nur bei Jungen, nicht bei Mädchen. Effekt unabhängig von selbstberichteter Gesamtaktivität.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 (Europa), Routinemessungen (Shuttle-Run), biologische Unterschiede oder geschlechterspezifische Verhaltensweisen</w:t>
      </w:r>
    </w:p>
    <w:p>
      <w:r>
        <w:rPr>
          <w:color w:val="5A7D3A"/>
          <w:sz w:val="18"/>
        </w:rPr>
        <w:t>https://pubmed.ncbi.nlm.nih.gov/42698608/</w:t>
      </w:r>
    </w:p>
    <w:p>
      <w:pPr>
        <w:pStyle w:val="Heading2"/>
      </w:pPr>
      <w:r>
        <w:t>Geschlechtsdynamiken und Leidensdruck bei Stimmenhören</w:t>
      </w:r>
    </w:p>
    <w:p>
      <w:r>
        <w:rPr>
          <w:i/>
          <w:color w:val="666666"/>
          <w:sz w:val="18"/>
        </w:rPr>
        <w:t>Klikovac LC et al.  ·  Clin Psychol Psychother  ·  Sept. 2026  ·  PMID 42675639</w:t>
      </w:r>
    </w:p>
    <w:p>
      <w:r>
        <w:t>Klinik-Routine-Daten von 347 Erwachsenen mit belastenden Stimmen (UK, 2016–2024) zur Frage, ob Geschlecht der hörenden Person und wahrgenommenes Stimmengeschlecht den Leidensdruck beeinflussen.</w:t>
      </w:r>
    </w:p>
    <w:p>
      <w:r>
        <w:rPr>
          <w:b/>
        </w:rPr>
        <w:t xml:space="preserve">Ergebnis: </w:t>
      </w:r>
      <w:r>
        <w:t>Männerstimmen häufiger; Männer hörten überwiegend Männerstimmen. Frauen, die Männerstimmen hörten, berichteten signifikant höhere Leidenswerte als andere Gruppen. Effekt durch gendered interpersonal dynamics erklärt.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UK-Klinikdaten, qualitative Behandlungsergebnisse, Ansatz ist übertragbar</w:t>
      </w:r>
    </w:p>
    <w:p>
      <w:r>
        <w:rPr>
          <w:color w:val="5A7D3A"/>
          <w:sz w:val="18"/>
        </w:rPr>
        <w:t>https://pubmed.ncbi.nlm.nih.gov/42675639/</w:t>
      </w:r>
    </w:p>
    <w:p>
      <w:pPr>
        <w:pStyle w:val="Heading2"/>
      </w:pPr>
      <w:r>
        <w:t>Geschlechtsunterschiede in perinatalen Risikofaktoren für Neurodermitis</w:t>
      </w:r>
    </w:p>
    <w:p>
      <w:r>
        <w:rPr>
          <w:i/>
          <w:color w:val="666666"/>
          <w:sz w:val="18"/>
        </w:rPr>
        <w:t>Moilanen R et al.  ·  Acta Paediatr  ·  25.06.2026  ·  PMID 42347018</w:t>
      </w:r>
    </w:p>
    <w:p>
      <w:r>
        <w:t>Retrospektive Kohortenstudie der finnischen Geburtskohorte 1986 mit 8.993 Personen zu Assoziationen zwischen Geburtsgewicht, Entbindungsmodus, Gestationsalter und Atopischer Dermatitis, stratifiziert nach Geschlecht.</w:t>
      </w:r>
    </w:p>
    <w:p>
      <w:r>
        <w:rPr>
          <w:b/>
        </w:rPr>
        <w:t xml:space="preserve">Ergebnis: </w:t>
      </w:r>
      <w:r>
        <w:t>AD-Prävalenz 23,7 %. Niedriges Geburtsgewicht war nur bei Männern ein Schutzfaktor (adjustiertes RR 0,54; 95%-KI 0,30–0,97), nicht bei Frauen. Entbindungsmodus und Gestationsalter zeigten keinen Zusammenhang mit AD-Risiko.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Routinedaten mit klinischer Diagnose, vergleichbare Dokumentation</w:t>
      </w:r>
    </w:p>
    <w:p>
      <w:r>
        <w:rPr>
          <w:color w:val="5A7D3A"/>
          <w:sz w:val="18"/>
        </w:rPr>
        <w:t>https://pubmed.ncbi.nlm.nih.gov/42347018/</w:t>
      </w:r>
    </w:p>
    <w:p>
      <w:pPr>
        <w:pStyle w:val="Heading2"/>
      </w:pPr>
      <w:r>
        <w:t>Geschlechterdiskriminierung und Mentoring reduzieren Forschungsmotivation von Ärztinnen</w:t>
      </w:r>
    </w:p>
    <w:p>
      <w:r>
        <w:rPr>
          <w:i/>
          <w:color w:val="666666"/>
          <w:sz w:val="18"/>
        </w:rPr>
        <w:t>Deledalle A et al.  ·  BMJ Open  ·  29.05.2026  ·  PMID 42215261</w:t>
      </w:r>
    </w:p>
    <w:p>
      <w:r>
        <w:t>Online-Befragung von 1.570 französischen Fachärztinnen und -ärzten in Weiterbildung (997 Frauen, 573 Männer; Nov. 2022–Feb. 2023) zu Unterschieden in Forschungsmotivation, Mentoring und erlebter Diskriminierung.</w:t>
      </w:r>
    </w:p>
    <w:p>
      <w:r>
        <w:rPr>
          <w:b/>
        </w:rPr>
        <w:t xml:space="preserve">Ergebnis: </w:t>
      </w:r>
      <w:r>
        <w:t>Frauen: geringere Forschungsmotivation (21,0 vs. 22,8 Punkte; p=0,011), weniger Mentoring (38,5% vs. 44,5%; p=0,02), deutlich mehr Geschlechtsdiskriminierung (22,8% vs. 3,8%; p=0,005) und sexuelle Belästigung (57,7% vs. 18,2%; p=0,005), höherer Stress (8,48 vs. 7,27; p=0,011).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(DACH-vergleichbar), nationale Befragung, strukturelle Barrieren messbar</w:t>
      </w:r>
    </w:p>
    <w:p>
      <w:r>
        <w:rPr>
          <w:color w:val="5A7D3A"/>
          <w:sz w:val="18"/>
        </w:rPr>
        <w:t>https://pubmed.ncbi.nlm.nih.gov/42215261/</w:t>
      </w:r>
    </w:p>
    <w:p>
      <w:pPr>
        <w:pStyle w:val="Heading2"/>
      </w:pPr>
      <w:r>
        <w:t>Geschlechterlücke in Sturzrisikobewertung im Krankenhaus</w:t>
      </w:r>
    </w:p>
    <w:p>
      <w:r>
        <w:rPr>
          <w:i/>
          <w:color w:val="666666"/>
          <w:sz w:val="18"/>
        </w:rPr>
        <w:t>Gubser RJ et al.  ·  Stud Health Technol Inform  ·  21.05.2026  ·  PMID 42174812</w:t>
      </w:r>
    </w:p>
    <w:p>
      <w:r>
        <w:t>EHR-Analyse von 898.208 Patienten (2016–2022) einer Universitätsklinik zu Unterschieden zwischen Männern und Frauen in Sturzinzidenz, Sturzrisikoerfassung und Schweregrad von Sturzverletzungen.</w:t>
      </w:r>
    </w:p>
    <w:p>
      <w:r>
        <w:rPr>
          <w:b/>
        </w:rPr>
        <w:t xml:space="preserve">Ergebnis: </w:t>
      </w:r>
      <w:r>
        <w:t>Männer: höhere Sturzinzidenz trotz zuverlässigerer Erfassung durch Risiko-Screening-Tool. Frauen: schwerwiegendere Sturverletzungen. Geschlechtsspezifische Unterschiede in Outcome und Assessment-Genauigkeit.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(Charité, Berlin), Universitätsklinikdaten, dokumentationspflichtige Einträge</w:t>
      </w:r>
    </w:p>
    <w:p>
      <w:r>
        <w:rPr>
          <w:color w:val="5A7D3A"/>
          <w:sz w:val="18"/>
        </w:rPr>
        <w:t>https://pubmed.ncbi.nlm.nih.gov/42174812/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