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12.09.2026  |  6 Studien  |  gender.m-vf.de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Sarkopenie bei Typ-2-Diabetes im Alter: Geschlechtsunterschiede in Muskelbildgebung und Diagnostik</w:t>
      </w:r>
    </w:p>
    <w:p>
      <w:r>
        <w:rPr>
          <w:i/>
          <w:color w:val="666666"/>
          <w:sz w:val="18"/>
        </w:rPr>
        <w:t>Chen Y et al.  ·  Geriatr Gerontol Int  ·  Sept. 2026  ·  PMID 42723363</w:t>
      </w:r>
    </w:p>
    <w:p>
      <w:r>
        <w:t>Querschnittstudie (n=269 ältere Diabetiker) mit Shear-Wave-Elastographie des Gastrocnemius und BMI zur Diagnose von Sarkopenie-Stadien – logistische Regressionen mit Geschlechtsstratifizierung.</w:t>
      </w:r>
    </w:p>
    <w:p>
      <w:r>
        <w:rPr>
          <w:b/>
        </w:rPr>
        <w:t xml:space="preserve">Ergebnis: </w:t>
      </w:r>
      <w:r>
        <w:t>Kontrahierte Elastizität (E-cont) unabhängiger Risikofaktor in beiden Geschlechtern. Kombiniertes Modell (AUC 0,988; Sensitivität 92%, Spezifität 95,4%); geschlechtsstratifiziert AUC 0,984 (Männer), 0,991 (Frauen). Schutzeffekt von E-cont stärker bei Frauen (OR 0,710 vs. 0,806 Männer), von BMI stärker bei Männern (OR 0,358 vs. 0,388 Frauen). Früher Indikator für Muskelschwund.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Ostasien, diagnostische Messparameter biologisch geschlechtsDifferential, Übertragbarkeit auf deutsche Kliniken gegeben</w:t>
      </w:r>
    </w:p>
    <w:p>
      <w:r>
        <w:rPr>
          <w:color w:val="5A7D3A"/>
          <w:sz w:val="18"/>
        </w:rPr>
        <w:t>https://pubmed.ncbi.nlm.nih.gov/42723363/</w:t>
      </w:r>
    </w:p>
    <w:p>
      <w:pPr>
        <w:pStyle w:val="Heading2"/>
      </w:pPr>
      <w:r>
        <w:t>Geschlechtsunterschiede im Zigarettenrauchen: 39 afrikanische Länder</w:t>
      </w:r>
    </w:p>
    <w:p>
      <w:r>
        <w:rPr>
          <w:i/>
          <w:color w:val="666666"/>
          <w:sz w:val="18"/>
        </w:rPr>
        <w:t>Osborne A et al.  ·  Glob Health Action  ·  08.09.2026  ·  PMID 42708187</w:t>
      </w:r>
    </w:p>
    <w:p>
      <w:r>
        <w:t>WHO-Daten zur Rauchprävalenz (2022) nach Geschlecht für Personen ≥15 Jahre – geschlechtsstratifizierte Vergleiche mit Absolute Differences und Ratios in 39 Ländern.</w:t>
      </w:r>
    </w:p>
    <w:p>
      <w:r>
        <w:rPr>
          <w:b/>
        </w:rPr>
        <w:t xml:space="preserve">Ergebnis: </w:t>
      </w:r>
      <w:r>
        <w:t>Männerquoten überall höher. Gesamtprävalenz 1,7% (Ghana) bis 18,2% (Seychellen). Geschlechtsdifferenz 3,3 Prozentpunkte (Ghana) bis 36,4 (Lesotho); &gt;25 pp in Mauritius, Algerien, Madagaskar, Seychellen. Frauenrauchen höchst in Südafrika (5,1%) und Seychellen (4,5%). Erklärungen (Geschlechternormen, Marketing, Policy) nicht untersucht – zeigen biologische oder Zugangsbarrieren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andere Ausgangslage, Kausalität nicht geklärt – Baseline für weiterführende Studien</w:t>
      </w:r>
    </w:p>
    <w:p>
      <w:r>
        <w:rPr>
          <w:color w:val="5A7D3A"/>
          <w:sz w:val="18"/>
        </w:rPr>
        <w:t>https://pubmed.ncbi.nlm.nih.gov/42708187/</w:t>
      </w:r>
    </w:p>
    <w:p>
      <w:pPr>
        <w:pStyle w:val="Heading2"/>
      </w:pPr>
      <w:r>
        <w:t>Nachbarschaftliche Gesundheitsungleichheit im UK: Gemeinschaftsgeführte Massnahmen zeigen messbare Ergebnisse</w:t>
      </w:r>
    </w:p>
    <w:p>
      <w:r>
        <w:rPr>
          <w:i/>
          <w:color w:val="666666"/>
          <w:sz w:val="18"/>
        </w:rPr>
        <w:t>McNally L  ·  Health Promot Int  ·  01.07.2026  ·  PMID 42545226</w:t>
      </w:r>
    </w:p>
    <w:p>
      <w:r>
        <w:t>Fallstudie Priority Neighbourhood Development (PND) Programm in Worcestershire – Evaluation nach 18 Monaten mit Notfallaufnahmen, Kinderwohlfahrts-Referrals, Wohlbefinden und sozialer Isolation.</w:t>
      </w:r>
    </w:p>
    <w:p>
      <w:r>
        <w:rPr>
          <w:b/>
        </w:rPr>
        <w:t xml:space="preserve">Ergebnis: </w:t>
      </w:r>
      <w:r>
        <w:t>Notfallaufnahmen gesunken, Kinderwohlfahrts-Referrals reduziert, Wohlbefinden verbessert, soziale Isolation verringert. Qualitativ: gestärkte Gemeinschaftsaktion, gestärkte Befähigung, verbesserte Versorgungszugang. Modell skaliert auf County-Ebene und in Policy/Vergabe verankert. Mechanismus: Vermögensbasierte Entwicklung, Bewohner-Leadership, Querschnitts-Koordination reduzierten Ungleichheit strukturell – nicht geschlechtergetrennt ausgewertet.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UK-Programm, aber Interventionsprinzipien auf deutsche Kommunen übertragbar; Geschlechtsdifferential nicht im Mittelpunkt</w:t>
      </w:r>
    </w:p>
    <w:p>
      <w:r>
        <w:rPr>
          <w:color w:val="5A7D3A"/>
          <w:sz w:val="18"/>
        </w:rPr>
        <w:t>https://pubmed.ncbi.nlm.nih.gov/42545226/</w:t>
      </w:r>
    </w:p>
    <w:p>
      <w:pPr>
        <w:pStyle w:val="Heading2"/>
      </w:pPr>
      <w:r>
        <w:t>Krebs im ländlichen Raum: Medienberichterstattung über räumliche Ungleichheit im Vereinigten Königreich</w:t>
      </w:r>
    </w:p>
    <w:p>
      <w:r>
        <w:rPr>
          <w:i/>
          <w:color w:val="666666"/>
          <w:sz w:val="18"/>
        </w:rPr>
        <w:t>Tyler I et al.  ·  Health Place  ·  30.06.2026  ·  PMID 42378953</w:t>
      </w:r>
    </w:p>
    <w:p>
      <w:r>
        <w:t>Analyse von 10.812 Zeitungsartikeln (2015-2025) zu ländlichen und Küstenkrebs-Ungleichheiten – 188 geeignete Artikel identifiziert und auf Framing, Themen und regionale Unterschiede codiert.</w:t>
      </w:r>
    </w:p>
    <w:p>
      <w:r>
        <w:rPr>
          <w:b/>
        </w:rPr>
        <w:t xml:space="preserve">Ergebnis: </w:t>
      </w:r>
      <w:r>
        <w:t>Berichterstattung begrenzt, aber zeitlich zunehmend. Hauptthemen: Reisebelastung, ungleicher Zugang zu Behandlung, Personalknappheit, Servicezentralisierung. 86% Soziopolitisches Framing (Struktur/Politik-getrieben). Geografische Schiefheit: Überrepräsentation Schottlands gegenüber England, Nordirland, Wales – Zugang und Leitlinien in strukturellen Hindernissen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UK-Medienanalyse, Zugangswegs-Unterschiede auf europäische Gesundheitssysteme übertragbar</w:t>
      </w:r>
    </w:p>
    <w:p>
      <w:r>
        <w:rPr>
          <w:color w:val="5A7D3A"/>
          <w:sz w:val="18"/>
        </w:rPr>
        <w:t>https://pubmed.ncbi.nlm.nih.gov/42378953/</w:t>
      </w:r>
    </w:p>
    <w:p>
      <w:pPr>
        <w:pStyle w:val="Heading2"/>
      </w:pPr>
      <w:r>
        <w:t>Intersektionale Unterschiede in selbstbewerteter Gesundheit in Deutschland nach Geschlecht, Migration, Bildung und Einkommen</w:t>
      </w:r>
    </w:p>
    <w:p>
      <w:r>
        <w:rPr>
          <w:i/>
          <w:color w:val="666666"/>
          <w:sz w:val="18"/>
        </w:rPr>
        <w:t>Slesinski SC et al.  ·  J Epidemiol Community Health  ·  10.09.2026  ·  PMID 42331609</w:t>
      </w:r>
    </w:p>
    <w:p>
      <w:r>
        <w:t>Deutsche Querschnittanalyse der Intersektionalität von Geschlecht, Migration und Sozioökonomie (n=179.861) mit Poisson-Regression auf selbstbewertete Gesundheit.</w:t>
      </w:r>
    </w:p>
    <w:p>
      <w:r>
        <w:rPr>
          <w:b/>
        </w:rPr>
        <w:t xml:space="preserve">Ergebnis: </w:t>
      </w:r>
      <w:r>
        <w:t>Armutsquote für schlechte Gesundheit stieg von 6,3% (hochgebildete, einkommensstarke Männer) auf 22,6% (niedriggebildete, einkommensarme Frauen mit Migrationshintergrund). Relative Excessrisiken durch Interaktion zeigten synergistische Effekte: Frauen mit Migration und niedrigem Einkommen/Bildung hatten disproportional höhere Risiken als Summe ihrer einzelnen Positionen. Migrierte Frauen mit türkischem Hintergrund betroffen.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Kohorte, vergleichbare Dokumentationspflichten, direkt auf deutsches GKV-System übertragbar</w:t>
      </w:r>
    </w:p>
    <w:p>
      <w:r>
        <w:rPr>
          <w:color w:val="5A7D3A"/>
          <w:sz w:val="18"/>
        </w:rPr>
        <w:t>https://pubmed.ncbi.nlm.nih.gov/42331609/</w:t>
      </w:r>
    </w:p>
    <w:p>
      <w:pPr>
        <w:pStyle w:val="Heading2"/>
      </w:pPr>
      <w:r>
        <w:t>Geschlechtsunterschiede in der Gesundheitsberichterstattung: Biomarker zeigen minimale Bias-Unterschiede</w:t>
      </w:r>
    </w:p>
    <w:p>
      <w:r>
        <w:rPr>
          <w:i/>
          <w:color w:val="666666"/>
          <w:sz w:val="18"/>
        </w:rPr>
        <w:t>Oksuzyan A et al.  ·  Demography  ·  01.06.2026  ·  PMID 42240458</w:t>
      </w:r>
    </w:p>
    <w:p>
      <w:r>
        <w:t>Vergleich Selbstbewertete Gesundheit mit objektiven Biomarkern (Health and Retirement Study) nach Geschlecht und Alter zur Prüfung von Reporting Bias.</w:t>
      </w:r>
    </w:p>
    <w:p>
      <w:r>
        <w:rPr>
          <w:b/>
        </w:rPr>
        <w:t xml:space="preserve">Ergebnis: </w:t>
      </w:r>
      <w:r>
        <w:t>Geringen Reporting-Bias zwischen Männern und Frauen. White respondents jünger: kaum Bias. White respondents ≥60 Jahre: optimistische Bewertung beider Geschlechter. Schwarze: inkonsistent über Alter. Hispanische: pessimistischer. Keine systematische Geschlechterdifferenz im Reporting – widerlegt Stereotype weiblicher Überbewertung von Symptomen. Optimismus steigt mit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Reporting-Bias-Befund ist Methoden-Beitrag, nicht Kausalität-abhängig – teilweise übertragbar</w:t>
      </w:r>
    </w:p>
    <w:p>
      <w:r>
        <w:rPr>
          <w:color w:val="5A7D3A"/>
          <w:sz w:val="18"/>
        </w:rPr>
        <w:t>https://pubmed.ncbi.nlm.nih.gov/42240458/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