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Geschlechtersensible Medizin</w:t>
      </w:r>
    </w:p>
    <w:p>
      <w:r>
        <w:rPr>
          <w:i/>
          <w:color w:val="666666"/>
          <w:sz w:val="18"/>
        </w:rPr>
        <w:t>Stand: 29.10.2026  |  6 Studien  |  gender.m-vf.de</w:t>
      </w:r>
    </w:p>
    <w:p>
      <w:pPr>
        <w:pStyle w:val="Heading1"/>
      </w:pPr>
      <w:r>
        <w:t>Aufgenommen am 29.10.2026</w:t>
      </w:r>
    </w:p>
    <w:p>
      <w:pPr>
        <w:pStyle w:val="Heading2"/>
      </w:pPr>
      <w:r>
        <w:t>Geschlechtsangleichende Hormontherapie: Strukturelle Zugangsbarrieren und Rolle von Apotheken</w:t>
      </w:r>
    </w:p>
    <w:p>
      <w:r>
        <w:rPr>
          <w:i/>
          <w:color w:val="666666"/>
          <w:sz w:val="18"/>
        </w:rPr>
        <w:t>McCann J et al.  ·  Health Expect  ·  Dez. 2026  ·  PMID 42949784</w:t>
      </w:r>
    </w:p>
    <w:p>
      <w:r>
        <w:t>Qualitative britische Studie mit 10 Interviews über Erfahrungen von Personen mit nicht-binärem Geschlecht beim Zugang zu geschlechtsangleichender Hormontherapie und Perspektiven auf inklusive Apotheken-Versorgung.</w:t>
      </w:r>
    </w:p>
    <w:p>
      <w:r>
        <w:rPr>
          <w:b/>
        </w:rPr>
        <w:t xml:space="preserve">Ergebnis: </w:t>
      </w:r>
      <w:r>
        <w:t>Drei Überarching-Themen: (1) Navigations-Herausforderungen bei Zugang zu Hormontherapie; (2) Auswirkungen von Zugangsbarrieren auf Wohlbefinden und Vertrauen in Gesundheitsdienste; (3) Apotheken als untergenutzte, aber wichtige Orte für inklusive, geschlechtsangleichende Unterstützung. Zentrale Bedingungen: respektvolle Kommunikation, sichtbare Inklusivität, Personal-Training, Partnerschaft mit der Community.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vergleichbare NHS-Strukturen; zeigt Zugangs- und Behandlungs-Problem, nicht biologisch</w:t>
      </w:r>
    </w:p>
    <w:p>
      <w:r>
        <w:rPr>
          <w:color w:val="5A7D3A"/>
          <w:sz w:val="18"/>
        </w:rPr>
        <w:t>https://pubmed.ncbi.nlm.nih.gov/42949784/</w:t>
      </w:r>
    </w:p>
    <w:p>
      <w:pPr>
        <w:pStyle w:val="Heading2"/>
      </w:pPr>
      <w:r>
        <w:t>Metabolisches Syndrom-Risiko: Geschlechts- und altersgerechte BMI-Grenzwerte für Früherkennung</w:t>
      </w:r>
    </w:p>
    <w:p>
      <w:r>
        <w:rPr>
          <w:i/>
          <w:color w:val="666666"/>
          <w:sz w:val="18"/>
        </w:rPr>
        <w:t>Hsu CY et al.  ·  Clin Obes  ·  Dez. 2026  ·  PMID 42947480</w:t>
      </w:r>
    </w:p>
    <w:p>
      <w:r>
        <w:t>Taiwanesische retrospektive Studie von 30.382 Erwachsenen 2008–2013 zu optimalen, geschlechts- und altersgerechten Grenzwerten von BMI, Triglyzerid-Glukose-Index und chinesischem viszeralem Adipositas-Index für Metabolisches-Syndrom-Prognose.</w:t>
      </w:r>
    </w:p>
    <w:p>
      <w:r>
        <w:rPr>
          <w:b/>
        </w:rPr>
        <w:t xml:space="preserve">Ergebnis: </w:t>
      </w:r>
      <w:r>
        <w:t>Signifikante Geschlechtsunterschiede in allen Indizes (p&lt;0,001), Frauen mit niedrigeren Werten als Männer. Optimale Grenzwerte stratifiziert nach Alter (≤29, 30–39, 40–49, ≥50) und Geschlecht: BMI 22,14–23,14 (Frauen) vs. 23,54–24,94 (Männer); TyGI 4,44–4,63 (Frauen) vs. 4,55–4,69 (Männer); CVAI 10,70–77,11 (Frauen) vs. 67,02–82,23 (Männer). CVAI zeigte größere Genauigkeit (AUC und Sensitivität &gt;0,70) als BMI und TyGI.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Taiwan, nicht direkt übertragbar; zeigt aber biologischen Unterschied in metabolischer Risikoschwelle</w:t>
      </w:r>
    </w:p>
    <w:p>
      <w:r>
        <w:rPr>
          <w:color w:val="5A7D3A"/>
          <w:sz w:val="18"/>
        </w:rPr>
        <w:t>https://pubmed.ncbi.nlm.nih.gov/42947480/</w:t>
      </w:r>
    </w:p>
    <w:p>
      <w:pPr>
        <w:pStyle w:val="Heading2"/>
      </w:pPr>
      <w:r>
        <w:t>Diabetes-Neufälle in Schweden während COVID-19: Rückgang unterschied sich zwischen Gruppen</w:t>
      </w:r>
    </w:p>
    <w:p>
      <w:r>
        <w:rPr>
          <w:i/>
          <w:color w:val="666666"/>
          <w:sz w:val="18"/>
        </w:rPr>
        <w:t>Andreasson J et al.  ·  BMC Public Health  ·  28.10.2026  ·  PMID 42947117</w:t>
      </w:r>
    </w:p>
    <w:p>
      <w:r>
        <w:t>Schwedische Registeranalyse aller Erwachsenen 2016–2022 zu Unterschieden in Diabetes-Neuerkrankungsrate nach Geschlecht, Alter und Migrationsstatus während Pandemie.</w:t>
      </w:r>
    </w:p>
    <w:p>
      <w:r>
        <w:rPr>
          <w:b/>
        </w:rPr>
        <w:t xml:space="preserve">Ergebnis: </w:t>
      </w:r>
      <w:r>
        <w:t>Insgesamt +3,6% linearer Trend (IRR 1,036; 95%-KI 1,028–1,045). 2020–2022 Rückgang um 6% relativ zum Trend (IRR 0,94; 95%-KI 0,91–0,97). 2020 stärkster Effekt (IRR 0,90), vor allem in Alter ≥65 Jahren und bei in Schweden Geborenen. Geschlechtsunterschiede in Pandemieeffekt nicht spezifiziert, aber Variabilität nach Geschlecht erwähnt.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skandinavisches Registersystem; zeigt Zugangseffekte, nicht biologische Unterschiede</w:t>
      </w:r>
    </w:p>
    <w:p>
      <w:r>
        <w:rPr>
          <w:color w:val="5A7D3A"/>
          <w:sz w:val="18"/>
        </w:rPr>
        <w:t>https://pubmed.ncbi.nlm.nih.gov/42947117/</w:t>
      </w:r>
    </w:p>
    <w:p>
      <w:pPr>
        <w:pStyle w:val="Heading2"/>
      </w:pPr>
      <w:r>
        <w:t>Neugeborene: Jungen haben höhere Risiken für Azidose und neurologische Komplikationen</w:t>
      </w:r>
    </w:p>
    <w:p>
      <w:r>
        <w:rPr>
          <w:i/>
          <w:color w:val="666666"/>
          <w:sz w:val="18"/>
        </w:rPr>
        <w:t>Akel WN et al.  ·  BMC Pediatr  ·  27.10.2026  ·  PMID 42947043</w:t>
      </w:r>
    </w:p>
    <w:p>
      <w:r>
        <w:t>Schwedische Kohortenstudie von 87.840 Neugeborenen 1995–2015 zu Geschlechtsunterschieden in perinatalen Komplikationen und arteriellem Nabelschnur-pH.</w:t>
      </w:r>
    </w:p>
    <w:p>
      <w:r>
        <w:rPr>
          <w:b/>
        </w:rPr>
        <w:t xml:space="preserve">Ergebnis: </w:t>
      </w:r>
      <w:r>
        <w:t>51,6% männlich. Jungen zeigten höhere adjustierte Odds für: UApH &lt;7,05 (OR 1,18; 95%-KI 1,07–1,30; p&lt;0,001), Apgar-Score &lt;7 nach 5 min (OR 1,33; 95%-KI 1,14–1,56; p&lt;0,001), CPAP-Einsatz (OR 1,66; 95%-KI 1,46–1,87; p&lt;0,001), NICU-Aufnahme (OR 1,51; 95%-KI 1,43–1,60; p&lt;0,001), hypoxisch-ischämische Enzephalopathie (OR 2,24; 95%-KI 1,29–3,90; p=0,002) und ZNS-Erkrankung (OR 1,52; 95%-KI 1,30–1,76;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 perinatale Überwachung; zeigt biologische Unterschiede in Säuglingsvulnerabilität</w:t>
      </w:r>
    </w:p>
    <w:p>
      <w:r>
        <w:rPr>
          <w:color w:val="5A7D3A"/>
          <w:sz w:val="18"/>
        </w:rPr>
        <w:t>https://pubmed.ncbi.nlm.nih.gov/42947043/</w:t>
      </w:r>
    </w:p>
    <w:p>
      <w:pPr>
        <w:pStyle w:val="Heading2"/>
      </w:pPr>
      <w:r>
        <w:t>Folsäure-Supplementation: Frauen kennen das Wissen, nutzen es aber kaum präkonzeptionell</w:t>
      </w:r>
    </w:p>
    <w:p>
      <w:r>
        <w:rPr>
          <w:i/>
          <w:color w:val="666666"/>
          <w:sz w:val="18"/>
        </w:rPr>
        <w:t>Licata F et al.  ·  Nutrients  ·  12.10.2026  ·  PMID 42942903</w:t>
      </w:r>
    </w:p>
    <w:p>
      <w:r>
        <w:t>Italienische Querschnittsstudie von 421 schwangeren Frauen zur Adhärenz bei Folsäure-Supplementation und deren Prädiktoren.</w:t>
      </w:r>
    </w:p>
    <w:p>
      <w:r>
        <w:rPr>
          <w:b/>
        </w:rPr>
        <w:t xml:space="preserve">Ergebnis: </w:t>
      </w:r>
      <w:r>
        <w:t>92,3% berichteten Folsäure-Einnahme, überwiegend auf gynäkologische Verordnung (86,3%). Allgemeines Wissen war hoch (79,3%), aber präkonzeptionelle Adhärenz niedrig: nur 25,8% insgesamt, unter Frauen mit geplanter Schwangerschaft nur 22,6%. Stärkste Prädiktoren: Empfehlung eines Gesundheitsarbeiters (aOR 26,84; 95%-KI 11,40–63,17) und geplante Schwangerschaft (aOR 6,03; 95%-KI 1,92–18,90).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vergleichbare Frauenarzt-Dominanz; zeigt Zugangsweg-Problem, nicht biologische Unterschiede</w:t>
      </w:r>
    </w:p>
    <w:p>
      <w:r>
        <w:rPr>
          <w:color w:val="5A7D3A"/>
          <w:sz w:val="18"/>
        </w:rPr>
        <w:t>https://pubmed.ncbi.nlm.nih.gov/42942903/</w:t>
      </w:r>
    </w:p>
    <w:p>
      <w:pPr>
        <w:pStyle w:val="Heading2"/>
      </w:pPr>
      <w:r>
        <w:t>Akuter Koronarsyndrom: Frauen erhalten weniger Therapien, zeigen aber bessere Überlebenschancen</w:t>
      </w:r>
    </w:p>
    <w:p>
      <w:r>
        <w:rPr>
          <w:i/>
          <w:color w:val="666666"/>
          <w:sz w:val="18"/>
        </w:rPr>
        <w:t>Sári C et al.  ·  Atherosclerosis  ·  20.09.2026  ·  PMID 42771944</w:t>
      </w:r>
    </w:p>
    <w:p>
      <w:r>
        <w:t>Ungarische Registeranalyse von 184.616 Herzinfarkt-Patienten 2014–2024 zum Geschlechterunterschied in Behandlung und Sterblichkeit.</w:t>
      </w:r>
    </w:p>
    <w:p>
      <w:r>
        <w:rPr>
          <w:b/>
        </w:rPr>
        <w:t xml:space="preserve">Ergebnis: </w:t>
      </w:r>
      <w:r>
        <w:t>Frauen waren älter, erhielten seltener perkutane Koronarintervention und Leitlinien-Therapien (unadjustiert: Sterblichkeit 25,7% vs. 19,8% bei Männern). Nach Anpassung für Alter, ACS-Typ, Revaskularisierung und Diabetes zeigten Frauen eine 10,3 Prozentpunkte niedrigere Mortalität (p&lt;0,001), mit starker Variation nach Alter und ACS-Typ. Der Effekt war bei jüngeren/mittelalten Patienten und NSTEMI stärker, bei ≥75 Jahren schwächer, bei STEMI umgekehrt.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Ungarn, vergleichbar mit deutschen Universitätskliniken; zeigt biologische Resilienz, nicht Zugangsbarrieren</w:t>
      </w:r>
    </w:p>
    <w:p>
      <w:r>
        <w:rPr>
          <w:color w:val="5A7D3A"/>
          <w:sz w:val="18"/>
        </w:rPr>
        <w:t>https://pubmed.ncbi.nlm.nih.gov/42771944/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Geschlechtersensible Medizin</dc:title>
  <dc:subject/>
  <dc:creator>Monitor Versorgungsforschung</dc:creator>
  <cp:keywords/>
  <dc:description>generated by python-docx</dc:description>
  <cp:lastModifiedBy/>
  <cp:revision>1</cp:revision>
  <dcterms:created xsi:type="dcterms:W3CDTF">2026-10-29T06:00:00Z</dcterms:created>
  <dcterms:modified xsi:type="dcterms:W3CDTF">2026-10-29T06:00:00Z</dcterms:modified>
  <cp:category/>
</cp:coreProperties>
</file>