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05.10.2026  |  6 Studien  |  gender.m-vf.de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Nierensteine: Körpermasse wirkt bei Männern stärker als bei Frauen – 10-Jahres-Kohortenstudie</w:t>
      </w:r>
    </w:p>
    <w:p>
      <w:r>
        <w:rPr>
          <w:i/>
          <w:color w:val="666666"/>
          <w:sz w:val="18"/>
        </w:rPr>
        <w:t>Tao K et al.  ·  Urolithiasis  ·  03.10.2026  ·  PMID 42828682</w:t>
      </w:r>
    </w:p>
    <w:p>
      <w:r>
        <w:t>Chinesische Langzeitstudie (n=24.418): Prüft, wie Körperkomposition (BMI, Taillenumfang, weitere Indizes) über 10 Jahre die Nierensteinfälle vorhersagt – stratifiziert nach Geschlecht.</w:t>
      </w:r>
    </w:p>
    <w:p>
      <w:r>
        <w:rPr>
          <w:b/>
        </w:rPr>
        <w:t xml:space="preserve">Ergebnis: </w:t>
      </w:r>
      <w:r>
        <w:t>Bei Männern: BMI, Taillenumfang, Taille-Hüft-Verhältnis, Weight-Adjusted-Waist-Index und Body-Roundness-Index alle signifikant mit Steinen assoziiert (HR 1,06–1,11, p&lt;0,001). Bei Frauen: nur Basis-BMI signifikant (HR 1,35, 95%-KI 1,03–1,78); keine Assoziation in den Jahren 6–10. Ursachen: biologisch/metabolisch unterschiedlich zwischen Geschlechtern.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befund biologisch bedingt, unabhängig von Versorgungssystem; Metabolik und Hormonwirkung zeigen klare Geschlechterdimension.</w:t>
      </w:r>
    </w:p>
    <w:p>
      <w:r>
        <w:rPr>
          <w:color w:val="5A7D3A"/>
          <w:sz w:val="18"/>
        </w:rPr>
        <w:t>https://pubmed.ncbi.nlm.nih.gov/42828682/</w:t>
      </w:r>
    </w:p>
    <w:p>
      <w:pPr>
        <w:pStyle w:val="Heading2"/>
      </w:pPr>
      <w:r>
        <w:t>Angststörung und Depression vermitteln Schmerzintensität und Opioidabhängigkeitsrisiko unterschiedlich bei Frauen und Männern</w:t>
      </w:r>
    </w:p>
    <w:p>
      <w:r>
        <w:rPr>
          <w:i/>
          <w:color w:val="666666"/>
          <w:sz w:val="18"/>
        </w:rPr>
        <w:t>Lorente JD et al.  ·  Front Public Health  ·  18.09.2026  ·  PMID 42827507</w:t>
      </w:r>
    </w:p>
    <w:p>
      <w:r>
        <w:t>Spanische Schmerzambulanz (n=97): Untersucht, ob negative Affekte den Zusammenhang zwischen Schmerzintensität und Opioidmissbrauch-Risiko vermitteln und ob dieser Unterschied zwischen Geschlechtern besteht.</w:t>
      </w:r>
    </w:p>
    <w:p>
      <w:r>
        <w:rPr>
          <w:b/>
        </w:rPr>
        <w:t xml:space="preserve">Ergebnis: </w:t>
      </w:r>
      <w:r>
        <w:t>Angst und Depression vermittelten den Schmerz-Opioid-Zusammenhang signifikant nur bei Frauen, nicht bei Männern. Diese differenzielle Mediation deutet auf Unterschiede in psychologischer Vulnerabilität hin – ein Befund, der Screening und Prävention geschlechtergerecht ausrichten könnte.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Gesundheitssystem, ähnliche Strukturen wie Deutschland; Transfer begrenzt auf Schmerzausbildung ohne geschlechtergetrennte Routinedaten.</w:t>
      </w:r>
    </w:p>
    <w:p>
      <w:r>
        <w:rPr>
          <w:color w:val="5A7D3A"/>
          <w:sz w:val="18"/>
        </w:rPr>
        <w:t>https://pubmed.ncbi.nlm.nih.gov/42827507/</w:t>
      </w:r>
    </w:p>
    <w:p>
      <w:pPr>
        <w:pStyle w:val="Heading2"/>
      </w:pPr>
      <w:r>
        <w:t>Hirn- und Nervensystemkrebs in Pakistan: Höhere Mortalität bei Frauen trotz jüngerer Erkrankungsalter</w:t>
      </w:r>
    </w:p>
    <w:p>
      <w:r>
        <w:rPr>
          <w:i/>
          <w:color w:val="666666"/>
          <w:sz w:val="18"/>
        </w:rPr>
        <w:t>Shaikh MO et al.  ·  J Pak Med Assoc  ·  Sept. 2026  ·  PMID 42817676</w:t>
      </w:r>
    </w:p>
    <w:p>
      <w:r>
        <w:t>GBD-Analyse: Alters- und geschlechtsspezifische Mortalitätsraten für Hirn-/ZNS-Krebs nach Provinz (1990–2023) in Pakistan.</w:t>
      </w:r>
    </w:p>
    <w:p>
      <w:r>
        <w:rPr>
          <w:b/>
        </w:rPr>
        <w:t xml:space="preserve">Ergebnis: </w:t>
      </w:r>
      <w:r>
        <w:t>Frauen zeigten in den meisten Provinzen höhere modellierte Mortalitätsraten als Männer (Punjab: 0,192 vs. 0,092), obwohl Spitzenlast in der Altersgruppe 20–39 Jahren lag. Provinzen wiesen 7-fache Unterschiede auf (Gilgit-Baltistan 0,154 vs. Azad Jammu &amp; Kashmir 0,021). Ursachen nicht spezifiziert; Zugangshypothese, da nordische Regionen stärker betroffen.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 – Daten aus globalem Krankheitsbürde-Register; übertragbar nur für Disparitätsstruktur, nicht für deutsche Systemanalyse.</w:t>
      </w:r>
    </w:p>
    <w:p>
      <w:r>
        <w:rPr>
          <w:color w:val="5A7D3A"/>
          <w:sz w:val="18"/>
        </w:rPr>
        <w:t>https://pubmed.ncbi.nlm.nih.gov/42817676/</w:t>
      </w:r>
    </w:p>
    <w:p>
      <w:pPr>
        <w:pStyle w:val="Heading2"/>
      </w:pPr>
      <w:r>
        <w:t>Ernährungsinterventionen bei Kindern: Politik, Gemeinschaft, Gesundheitssystem – was schließt die Ungleichheitslücke</w:t>
      </w:r>
    </w:p>
    <w:p>
      <w:r>
        <w:rPr>
          <w:i/>
          <w:color w:val="666666"/>
          <w:sz w:val="18"/>
        </w:rPr>
        <w:t>Wu D et al.  ·  Front Public Health  ·  15.09.2026  ·  PMID 42813002</w:t>
      </w:r>
    </w:p>
    <w:p>
      <w:r>
        <w:t>Narrative Übersicht: Bewertet Ernährungsunterstützungsstrategien (Politik, Gemeinschaft, Gesundheitssystem, Haushalt) zur Bekämpfung von Kinderfehlernährung und Disparitäten.</w:t>
      </w:r>
    </w:p>
    <w:p>
      <w:r>
        <w:rPr>
          <w:b/>
        </w:rPr>
        <w:t xml:space="preserve">Ergebnis: </w:t>
      </w:r>
      <w:r>
        <w:t>Wirksamste Ansätze: Kombinierte Strategien auf mehreren Ebenen (Lebensmittelfortifikation, Subventionen, Kassentransfers auf Politikebene; Ernährungsratschläge in Primärversorgung; Haushalts- und Gemeinschaftsprogramme). Kulturell relevante, eigenkapitalfokussierte Interventionen zeigten größte Erfolge. Geschlecht nicht gesondert analysiert, aber Fokus auf vulnerable Kindergruppen und Chancengleichheit.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(nicht regional spezifisch) – Mehrebenenstrategie-Rahmen auf Deutschland übertragbar; fehlende Geschlechterstratifizierung limitiert Spezifität.</w:t>
      </w:r>
    </w:p>
    <w:p>
      <w:r>
        <w:rPr>
          <w:color w:val="5A7D3A"/>
          <w:sz w:val="18"/>
        </w:rPr>
        <w:t>https://pubmed.ncbi.nlm.nih.gov/42813002/</w:t>
      </w:r>
    </w:p>
    <w:p>
      <w:pPr>
        <w:pStyle w:val="Heading2"/>
      </w:pPr>
      <w:r>
        <w:t>Schulung mit sexualwissenschaftlichem Fokus reduziert Vorurteile gegen Lesben und Schwule unmittelbar</w:t>
      </w:r>
    </w:p>
    <w:p>
      <w:r>
        <w:rPr>
          <w:i/>
          <w:color w:val="666666"/>
          <w:sz w:val="18"/>
        </w:rPr>
        <w:t>Zheng Q et al.  ·  BMC Psychol  ·  01.09.2026  ·  PMID 42736583</w:t>
      </w:r>
    </w:p>
    <w:p>
      <w:r>
        <w:t>Randomisiertes Experiment (n=112 chinesische Studierende): Kurze sexualwissenschaftliche Schulung mit kritischem Denken vs. Kontrollvideo; Vorurteilsmessung vor und direkt nach Video.</w:t>
      </w:r>
    </w:p>
    <w:p>
      <w:r>
        <w:rPr>
          <w:b/>
        </w:rPr>
        <w:t xml:space="preserve">Ergebnis: </w:t>
      </w:r>
      <w:r>
        <w:t>Interventionsgruppe: PALG-Score um 20,36 Punkte niedriger (95%-KI -25,32 bis -15,40, p&lt;0,001). Effekt konzentriert sich auf heterosexuelle Teilnehmende (η²=0,70). Soforteffekt ohne Langzeitdaten; Design: Laborausmaß, geringe externe Validität.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Labordesign – unmittelbare Vorurteilsreduktion messbar; Übertragung auf Gesundheitsberufe in Deutschland unklar, da Versorgungsfolgen nicht untersucht.</w:t>
      </w:r>
    </w:p>
    <w:p>
      <w:r>
        <w:rPr>
          <w:color w:val="5A7D3A"/>
          <w:sz w:val="18"/>
        </w:rPr>
        <w:t>https://pubmed.ncbi.nlm.nih.gov/42736583/</w:t>
      </w:r>
    </w:p>
    <w:p>
      <w:pPr>
        <w:pStyle w:val="Heading2"/>
      </w:pPr>
      <w:r>
        <w:t>Selbstwahrgenommene Gesundheit auf dem Land niedriger verteilt als in der Stadt – italienische Querschnittsanalyse</w:t>
      </w:r>
    </w:p>
    <w:p>
      <w:r>
        <w:rPr>
          <w:i/>
          <w:color w:val="666666"/>
          <w:sz w:val="18"/>
        </w:rPr>
        <w:t>Leporatti L et al.  ·  Econ Hum Biol  ·  17.06.2026  ·  PMID 42320258</w:t>
      </w:r>
    </w:p>
    <w:p>
      <w:r>
        <w:t>Italienische Bevölkerungsumfrage: Vergleicht Durchschnitte und Streuung der selbstwahrgenommenen Gesundheit zwischen großen/kleinen Gemeinden und Küsten-/Landregionen.</w:t>
      </w:r>
    </w:p>
    <w:p>
      <w:r>
        <w:rPr>
          <w:b/>
        </w:rPr>
        <w:t xml:space="preserve">Ergebnis: </w:t>
      </w:r>
      <w:r>
        <w:t>Durchschnitte zwischen Stadt und Land ähnlich, aber Gesundheitsstreuung signifikant niedriger in kleinen und ländlichen Gemeinden. Unterschiede nur teilweise durch beobachtbare Merkmale erklärt; psychosoziale Faktoren und wahrgenommene lokale Serviceverbesserungen sind Schlüsselhebel. Geschlecht nicht explizit ausgewertet, aber Verteilungsperspektive novell.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europäischer Sozialversicherungskontext ähnlich Deutschland; Disparitätsmessung über Verteilung statt Mittelwert methodisch wertvoll.</w:t>
      </w:r>
    </w:p>
    <w:p>
      <w:r>
        <w:rPr>
          <w:color w:val="5A7D3A"/>
          <w:sz w:val="18"/>
        </w:rPr>
        <w:t>https://pubmed.ncbi.nlm.nih.gov/42320258/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