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24.09.2026  |  1 Studien  |  gender.m-vf.de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Englischkenntnisse und Gesundheitsergebnisse: Routinedaten zeigen höhere Krankheitslast bei schlechteren Sprachkenntnissen</w:t>
      </w:r>
    </w:p>
    <w:p>
      <w:r>
        <w:rPr>
          <w:i/>
          <w:color w:val="666666"/>
          <w:sz w:val="18"/>
        </w:rPr>
        <w:t>Yeoh S et al.  ·  PLoS One  ·  19.08.2026  ·  PMID 42616717</w:t>
      </w:r>
    </w:p>
    <w:p>
      <w:r>
        <w:t>Populationsbasierte Studie zur Assoziation zwischen Englischproficiency und Gesundheitsstatus sowie Inanspruchnahme von Primär- und Sekundärversorgung in England.</w:t>
      </w:r>
    </w:p>
    <w:p>
      <w:r>
        <w:rPr>
          <w:b/>
        </w:rPr>
        <w:t xml:space="preserve">Ergebnis: </w:t>
      </w:r>
      <w:r>
        <w:t>Patienten mit geringen Englischkenntnissen zeigten höhere altersadaptierte Prävalenzen von kardiometabolischen Erkrankungen sowie signifikant höhere Inanspruchnahme von Primär- und Sekundärvergung. Dies deutet auf strukturelle Barrieren beim Zugang hin, nicht auf biologische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vergleichbares System; Datenqualität ähnlich deutschen Abrechnungsdaten</w:t>
      </w:r>
    </w:p>
    <w:p>
      <w:r>
        <w:rPr>
          <w:color w:val="5A7D3A"/>
          <w:sz w:val="18"/>
        </w:rPr>
        <w:t>https://pubmed.ncbi.nlm.nih.gov/42616717/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