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w:t>
      </w:r>
    </w:p>
    <w:p>
      <w:r>
        <w:rPr>
          <w:i/>
          <w:color w:val="666666"/>
          <w:sz w:val="18"/>
        </w:rPr>
        <w:t>Stand: 19.10.2026  |  6 Studien  |  healthliteracy.m-vf.de</w:t>
      </w:r>
    </w:p>
    <w:p>
      <w:pPr>
        <w:pStyle w:val="Heading1"/>
      </w:pPr>
      <w:r>
        <w:t>Aufgenommen am 19.10.2026</w:t>
      </w:r>
    </w:p>
    <w:p>
      <w:pPr>
        <w:pStyle w:val="Heading2"/>
      </w:pPr>
      <w:r>
        <w:t>Was Frauen mit Endometriose wissen müssen: Informationsbedarf und Lücken</w:t>
      </w:r>
    </w:p>
    <w:p>
      <w:r>
        <w:rPr>
          <w:i/>
          <w:color w:val="666666"/>
          <w:sz w:val="18"/>
        </w:rPr>
        <w:t>Senyel D et al.  ·  Womens Health (Lond)  ·  18.10.2026  ·  PMID 42893505</w:t>
      </w:r>
    </w:p>
    <w:p>
      <w:r>
        <w:t>Querschnittstudie (Mixed Methods) mit 265 australischen Frauen ≥18 Jahre mit diagnostizierter oder vermuteter Endometriose zu ihren Informationsbedürfnissen.</w:t>
      </w:r>
    </w:p>
    <w:p>
      <w:r>
        <w:rPr>
          <w:b/>
        </w:rPr>
        <w:t xml:space="preserve">Ergebnis: </w:t>
      </w:r>
      <w:r>
        <w:t>Stärkster Informationsbedarf zu: Komorbiditäten (76,98 % Zustimmung, n=204/265), spezialisierte Endometriose-Kliniken (75,85 %, n=179/236), Umgang mit Ablehnungserfahrungen durch Fachpersonen (75,54 %, n=176/233). Offen genannte Lücken: Pathogenese, alternative Therapien, Unterschiede zwischen öffentlichem und privatem Gesundheitswesen, Selbstvertretung. Unzureichende Unterstützung bei Entscheidungsfindung identifiziert.</w:t>
      </w:r>
    </w:p>
    <w:p>
      <w:r>
        <w:rPr>
          <w:b/>
          <w:sz w:val="19"/>
        </w:rPr>
        <w:t xml:space="preserve">Übertragbarkeit: </w:t>
      </w:r>
      <w:r>
        <w:rPr>
          <w:sz w:val="19"/>
        </w:rPr>
        <w:t>Australien vergleichbar Deutschland: Befunde zeigen Versorgungslücken und Handlungsbedarf für patientenzentrierte Informationsentwicklung.</w:t>
      </w:r>
    </w:p>
    <w:p>
      <w:r>
        <w:rPr>
          <w:color w:val="5A7D3A"/>
          <w:sz w:val="18"/>
        </w:rPr>
        <w:t>https://pubmed.ncbi.nlm.nih.gov/42893505/</w:t>
      </w:r>
    </w:p>
    <w:p>
      <w:pPr>
        <w:pStyle w:val="Heading2"/>
      </w:pPr>
      <w:r>
        <w:t>Geringe Gesundheitskompetenz bei chronischen Erkrankungen in Grönland: Handlungsbedarf für Gesundheitssystem</w:t>
      </w:r>
    </w:p>
    <w:p>
      <w:r>
        <w:rPr>
          <w:i/>
          <w:color w:val="666666"/>
          <w:sz w:val="18"/>
        </w:rPr>
        <w:t>Kjær F et al.  ·  Int J Circumpolar Health  ·  31.12.2026  ·  PMID 42891930</w:t>
      </w:r>
    </w:p>
    <w:p>
      <w:r>
        <w:t>Querschnittstudie mit 230 Personen mit chronischen Erkrankungen (Diabetes, COPD, Hypertonie, Adipositas, Asthma) in Grönland, die mit HLS19-Q12-Fragebogen (Kalaallisut und Dänisch) die Gesundheitskompetenz ermittelte.</w:t>
      </w:r>
    </w:p>
    <w:p>
      <w:r>
        <w:rPr>
          <w:b/>
        </w:rPr>
        <w:t xml:space="preserve">Ergebnis: </w:t>
      </w:r>
      <w:r>
        <w:t>82,2 % hatten unzureichende oder problematische Gesundheitskompetenz (32,2 % unzureichend, 50,0 % problematisch, 12,4 % ausreichend, 5,4 % hervorragend). Kalaallisut-Version zeigte gute interne Konsistenz (Cronbachs Alpha 0,88; 95%-KI: 0,78–0,93) und Test-Retest-Reliabilität (ICC 0,86; 95%-KI: 0,71–0,94). Dies unterstreicht hohen Interventionsbedarf.</w:t>
      </w:r>
    </w:p>
    <w:p>
      <w:r>
        <w:rPr>
          <w:b/>
          <w:sz w:val="19"/>
        </w:rPr>
        <w:t xml:space="preserve">Übertragbarkeit: </w:t>
      </w:r>
      <w:r>
        <w:rPr>
          <w:sz w:val="19"/>
        </w:rPr>
        <w:t>Grönland, vergleichbare nordeuropäische Sozialversicherung; Befunde für indigene Bevölkerungen weltweit relevant.</w:t>
      </w:r>
    </w:p>
    <w:p>
      <w:r>
        <w:rPr>
          <w:color w:val="5A7D3A"/>
          <w:sz w:val="18"/>
        </w:rPr>
        <w:t>https://pubmed.ncbi.nlm.nih.gov/42891930/</w:t>
      </w:r>
    </w:p>
    <w:p>
      <w:pPr>
        <w:pStyle w:val="Heading2"/>
      </w:pPr>
      <w:r>
        <w:t>Niedriges Digital Health Literacy erhöht Risiko für problematische Social-Media-Nutzung</w:t>
      </w:r>
    </w:p>
    <w:p>
      <w:r>
        <w:rPr>
          <w:i/>
          <w:color w:val="666666"/>
          <w:sz w:val="18"/>
        </w:rPr>
        <w:t>Shahat KA  ·  Front Public Health  ·  02.10.2026  ·  PMID 42890596</w:t>
      </w:r>
    </w:p>
    <w:p>
      <w:r>
        <w:t>Querschnittstudie mit 330 saudischen Schülern (13–18 Jahre, 170 männlich, 160 weiblich) zu Zusammenhang zwischen Digital Health Literacy (DHLI), problematischer Social-Media-Nutzung (Bergen Scale) und psychischer Belastung (DASS-21).</w:t>
      </w:r>
    </w:p>
    <w:p>
      <w:r>
        <w:rPr>
          <w:b/>
        </w:rPr>
        <w:t xml:space="preserve">Ergebnis: </w:t>
      </w:r>
      <w:r>
        <w:t>Prävalenz problematischer Social-Media-Nutzung 34,8 % (95%-KI: 29,7–40,2 %), höher bei Mädchen (41,9 %) als Jungen (28,2 %, p=0,009). Niedriges Digital Health Literacy unabhängig mit problematischer Nutzung assoziiert (aOR 2,79; 95%-KI: 1,70–4,58; p&lt;0,001). Problematische Nutzer hatten höhere Depression (14,1±5,5 vs. 8,6±4,2; p&lt;0,001), Angst (12,7±5,0 vs. 7,8±3,9; p&lt;0,001) und Stress (15,5±5,7 vs. 10,0±4,6; p&lt;0,001).</w:t>
      </w:r>
    </w:p>
    <w:p>
      <w:r>
        <w:rPr>
          <w:b/>
          <w:sz w:val="19"/>
        </w:rPr>
        <w:t xml:space="preserve">Übertragbarkeit: </w:t>
      </w:r>
      <w:r>
        <w:rPr>
          <w:sz w:val="19"/>
        </w:rPr>
        <w:t>Saudi-Arabien: Befunde zur Rolle von Digital Health Literacy bei Jugendlichen; Schulinterventionen sollten Schwerpunkt sein.</w:t>
      </w:r>
    </w:p>
    <w:p>
      <w:r>
        <w:rPr>
          <w:color w:val="5A7D3A"/>
          <w:sz w:val="18"/>
        </w:rPr>
        <w:t>https://pubmed.ncbi.nlm.nih.gov/42890596/</w:t>
      </w:r>
    </w:p>
    <w:p>
      <w:pPr>
        <w:pStyle w:val="Heading2"/>
      </w:pPr>
      <w:r>
        <w:t>Messinstrumente für Planetare Gesundheitskompetenz: Qualitätsmängel und Forschungslücken</w:t>
      </w:r>
    </w:p>
    <w:p>
      <w:r>
        <w:rPr>
          <w:i/>
          <w:color w:val="666666"/>
          <w:sz w:val="18"/>
        </w:rPr>
        <w:t>Reismann L et al.  ·  Health Qual Life Outcomes  ·  16.10.2026  ·  PMID 42888415</w:t>
      </w:r>
    </w:p>
    <w:p>
      <w:r>
        <w:t>Systematische Übersicht nach COSMIN-Kriterien über vier Studien zu drei Instrumenten (CCHLS, CCDL, SFLS), die Umwelt-Gesundheits-Literalität messen.</w:t>
      </w:r>
    </w:p>
    <w:p>
      <w:r>
        <w:rPr>
          <w:b/>
        </w:rPr>
        <w:t xml:space="preserve">Ergebnis: </w:t>
      </w:r>
      <w:r>
        <w:t>Sustainable Food Literacy Scale zeigte beste Ergebnisse mit sehr guter Evidenzqualität im Original, türkische Adaptation hatte niedrige methodische Qualität. Alle Instrumente zeigten niedrige oder sehr niedrige Evidenz für Entwicklung und Inhaltsvalidität. Kerndefizite: unklare Konstruktdefinition, geringe Einbeziehung von Zielgruppen in Entwicklung, Fokus auf Wissen statt komplexer Health Literacy.</w:t>
      </w:r>
    </w:p>
    <w:p>
      <w:r>
        <w:rPr>
          <w:b/>
          <w:sz w:val="19"/>
        </w:rPr>
        <w:t xml:space="preserve">Übertragbarkeit: </w:t>
      </w:r>
      <w:r>
        <w:rPr>
          <w:sz w:val="19"/>
        </w:rPr>
        <w:t>Deutschland und Europa: Befunde zeigen Standardisierungsbedarf für Umwelt-Gesundheits-Kompetenzmessungen.</w:t>
      </w:r>
    </w:p>
    <w:p>
      <w:r>
        <w:rPr>
          <w:color w:val="5A7D3A"/>
          <w:sz w:val="18"/>
        </w:rPr>
        <w:t>https://pubmed.ncbi.nlm.nih.gov/42888415/</w:t>
      </w:r>
    </w:p>
    <w:p>
      <w:pPr>
        <w:pStyle w:val="Heading2"/>
      </w:pPr>
      <w:r>
        <w:t>Wie junge Erwachsene Online-Ernährungsinformation bewerten: Kritische Kriterien und Grenzen</w:t>
      </w:r>
    </w:p>
    <w:p>
      <w:r>
        <w:rPr>
          <w:i/>
          <w:color w:val="666666"/>
          <w:sz w:val="18"/>
        </w:rPr>
        <w:t>Rozmiarek M  ·  Nutrients  ·  25.09.2026  ·  PMID 42884616</w:t>
      </w:r>
    </w:p>
    <w:p>
      <w:r>
        <w:t>Qualitative Fokusgruppenstudie mit 17 Tourismus- und Freizeitstudierenden (9 Frauen, 8 Männer, 21–23 Jahre) zu Wahrnehmung, Bewertung und kritischem Urteil über Online-Ernährungsinformation.</w:t>
      </w:r>
    </w:p>
    <w:p>
      <w:r>
        <w:rPr>
          <w:b/>
        </w:rPr>
        <w:t xml:space="preserve">Ergebnis: </w:t>
      </w:r>
      <w:r>
        <w:t>Vier Hauptthemen identifiziert: (1) Online-Information wahrgenommen als zugänglich und einflussreich, aber verbunden mit Informationsüberfluss, widersprüchlichen Empfehlungen und vereinfachten Erklärungen; (2) Bewertung nutzte Kriterien: Quellenexpertise, Konsistenz über Quellen hinweg, realistische Erwartungen, Erklärungsqualität, soziales Feedback; (3) Social-Media-Influencer als Inspirationsquelle, professionelle Quellen für kritische Entscheidungen; (4) Hochschulausbildung unterstützte kritisches Denken, aber Grenzen der Ernährungsexpertise erkannt.</w:t>
      </w:r>
    </w:p>
    <w:p>
      <w:r>
        <w:rPr>
          <w:b/>
          <w:sz w:val="19"/>
        </w:rPr>
        <w:t xml:space="preserve">Übertragbarkeit: </w:t>
      </w:r>
      <w:r>
        <w:rPr>
          <w:sz w:val="19"/>
        </w:rPr>
        <w:t>Polen und Deutschland: Befunde zeigen Notwendigkeit, Digital Nutrition Literacy in Hochschul-Curricula zu integrieren.</w:t>
      </w:r>
    </w:p>
    <w:p>
      <w:r>
        <w:rPr>
          <w:color w:val="5A7D3A"/>
          <w:sz w:val="18"/>
        </w:rPr>
        <w:t>https://pubmed.ncbi.nlm.nih.gov/42884616/</w:t>
      </w:r>
    </w:p>
    <w:p>
      <w:pPr>
        <w:pStyle w:val="Heading2"/>
      </w:pPr>
      <w:r>
        <w:t>Therapeutische Patientenedukation verbessert Therapieadhärenz und Selbstmanagement bei Tuberkulose</w:t>
      </w:r>
    </w:p>
    <w:p>
      <w:r>
        <w:rPr>
          <w:i/>
          <w:color w:val="666666"/>
          <w:sz w:val="18"/>
        </w:rPr>
        <w:t>Perriot J et al.  ·  Rev Med Liege  ·  Okt. 2026  ·  PMID 42861535</w:t>
      </w:r>
    </w:p>
    <w:p>
      <w:r>
        <w:t>Narrative Übersicht zu therapeutischer Edukation bei Tuberkulose-Patienten (latente und aktive Form), einschließlich ihrer Rolle für Verständnis, Adhärenz und Stigma-Bekämpfung.</w:t>
      </w:r>
    </w:p>
    <w:p>
      <w:r>
        <w:rPr>
          <w:b/>
        </w:rPr>
        <w:t xml:space="preserve">Ergebnis: </w:t>
      </w:r>
      <w:r>
        <w:t>Therapeutische Edukation (Patient Therapeutic Education – ETP) zielt darauf, Selbstmanagement-Kompetenzen, Autonomie und Lebensqualität zu stärken. Adressiert Verständnisprobleme durch lange Behandlungsprotokolle, Nebenwirkungen und psychosoziale Faktoren. Strukturierte, kontinuierliche, multidisziplinäre, patientenzentrierte Strategie ist wesentlicher Hebel zur Optimierung von Behandlungsergebnissen und Bekämpfung der Tuberkulose.</w:t>
      </w:r>
    </w:p>
    <w:p>
      <w:r>
        <w:rPr>
          <w:b/>
          <w:sz w:val="19"/>
        </w:rPr>
        <w:t xml:space="preserve">Übertragbarkeit: </w:t>
      </w:r>
      <w:r>
        <w:rPr>
          <w:sz w:val="19"/>
        </w:rPr>
        <w:t>Belgien und Frankreich, vergleichbare Versicherungssysteme; Befunde zu Edukation und Adhärenz auf Deutschland übertragbar.</w:t>
      </w:r>
    </w:p>
    <w:p>
      <w:r>
        <w:rPr>
          <w:color w:val="5A7D3A"/>
          <w:sz w:val="18"/>
        </w:rPr>
        <w:t>https://pubmed.ncbi.nlm.nih.gov/42861535/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dc:title>
  <dc:subject/>
  <dc:creator>Monitor Versorgungsforschung</dc:creator>
  <cp:keywords/>
  <dc:description>generated by python-docx</dc:description>
  <cp:lastModifiedBy/>
  <cp:revision>1</cp:revision>
  <dcterms:created xsi:type="dcterms:W3CDTF">2026-10-19T06:00:00Z</dcterms:created>
  <dcterms:modified xsi:type="dcterms:W3CDTF">2026-10-19T06:00:00Z</dcterms:modified>
  <cp:category/>
</cp:coreProperties>
</file>