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18.09.2026  |  171 Studien  |  healthliteracy.m-vf.de</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Gesundheitskompetenz bei älteren Patienten mit Herz-Kreislauf-Erkrankungen: Latente Profilanalyse</w:t>
      </w:r>
    </w:p>
    <w:p>
      <w:r>
        <w:rPr>
          <w:i/>
          <w:color w:val="666666"/>
          <w:sz w:val="18"/>
        </w:rPr>
        <w:t>Mestl H  ·  Tidsskr Nor Laegeforen  ·  23.06.2026  ·  PMID 42343611</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https://pubmed.ncbi.nlm.nih.gov/42343611/</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2026-09-18T06:00:00Z</dcterms:created>
  <dcterms:modified xsi:type="dcterms:W3CDTF">2026-09-18T06:00:00Z</dcterms:modified>
  <cp:category/>
</cp:coreProperties>
</file>