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25.09.2026  |  6 Studien  |  healthliteracy.m-vf.de</w:t>
      </w:r>
    </w:p>
    <w:p>
      <w:pPr>
        <w:pStyle w:val="Heading1"/>
      </w:pPr>
      <w:r>
        <w:t>Aufgenommen am 25.09.2026</w:t>
      </w:r>
    </w:p>
    <w:p>
      <w:pPr>
        <w:pStyle w:val="Heading2"/>
      </w:pPr>
      <w:r>
        <w:t>Sprachliche Barrieren erklären Gesundheitskompetenz-Unterschiede nicht vollständig</w:t>
      </w:r>
    </w:p>
    <w:p>
      <w:r>
        <w:rPr>
          <w:i/>
          <w:color w:val="666666"/>
          <w:sz w:val="18"/>
        </w:rPr>
        <w:t>Ausserhofer D et al.  ·  JMIR Form Res  ·  24.09.2026  ·  PMID 42784772</w:t>
      </w:r>
    </w:p>
    <w:p>
      <w:r>
        <w:t>Studie untersuchte in Südtirol, wie digitale Gesundheitsinformation die sprachbedingten Unterschiede in Health Literacy zwischen deutsch- und italienischsprachigen Bevölkerungsgruppen vermittelt.</w:t>
      </w:r>
    </w:p>
    <w:p>
      <w:r>
        <w:rPr>
          <w:b/>
        </w:rPr>
        <w:t xml:space="preserve">Ergebnis: </w:t>
      </w:r>
      <w:r>
        <w:t>Italienischsprachige Teilnehmende zeigten signifikant höhere HL-Werte (Mittelwert 12,54 vs. 11,56 auf 0-16-Skala; p&lt;0,001) und nutzten häufiger digitale Gesundheitsinformation (p=0,003). Der indirekte Effekt der Sprache auf HL durch digitale Nutzung war jedoch nicht signifikant (B=0,018, 95% CI -0,035–0,074), während der direkte Effekt robust blieb (B=0,96; p&lt;0,001). Vertrauen in professionelle Quellen (B=0,39) und Internet-Gesundheitsinformation (B=0,61) waren beide positiv mit HL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Südtirol, zweisprachiges Versicherungssystem, weist auf kulturelle/sprachliche Ungleichheit hin</w:t>
      </w:r>
    </w:p>
    <w:p>
      <w:r>
        <w:rPr>
          <w:color w:val="5A7D3A"/>
          <w:sz w:val="18"/>
        </w:rPr>
        <w:t>https://pubmed.ncbi.nlm.nih.gov/42784772/</w:t>
      </w:r>
    </w:p>
    <w:p>
      <w:pPr>
        <w:pStyle w:val="Heading2"/>
      </w:pPr>
      <w:r>
        <w:t>Entscheidungshilfen senken Entscheidungskonflikt bei Brustkrebs nachweislich</w:t>
      </w:r>
    </w:p>
    <w:p>
      <w:r>
        <w:rPr>
          <w:i/>
          <w:color w:val="666666"/>
          <w:sz w:val="18"/>
        </w:rPr>
        <w:t>Sdinami S et al.  ·  Curr Oncol  ·  30.08.2026  ·  PMID 42782865</w:t>
      </w:r>
    </w:p>
    <w:p>
      <w:r>
        <w:t>Systematischer Review von 26 Studien (5174 Teilnehmende) bewertete Effektivität von Patient Decision Aids (PDA) auf Entscheidungsqualität, Psyche und Lebensqualität bei frühem Brustkrebs, mit Fokus auf vulnerable Bevölkerungsgruppen.</w:t>
      </w:r>
    </w:p>
    <w:p>
      <w:r>
        <w:rPr>
          <w:b/>
        </w:rPr>
        <w:t xml:space="preserve">Ergebnis: </w:t>
      </w:r>
      <w:r>
        <w:t>PDAs waren assoziiert mit reduziertem Entscheidungskonflikt (6 von 7 Studien), verbesserter Entscheidungszufriedenheit (4 Studien) und verbessertem Wissen (4 von 8 Studien signifikant). Zehn Studien zu niedrigerem sozioökonomischem Status/niedriger Literalität zeigten Effektivität von piktorialen und vereinfachten PDAs. Keine konsistenten negativen Effekte auf Angst/Depression. Qualitative Befunde: hohe Akzeptabilität, aber Barrieren bei Timing und institutioneller 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Südeuropäische Onkologiesysteme, Shared Decision Making, PDA-Prinzipien deutschlandgerecht adaptierbar</w:t>
      </w:r>
    </w:p>
    <w:p>
      <w:r>
        <w:rPr>
          <w:color w:val="5A7D3A"/>
          <w:sz w:val="18"/>
        </w:rPr>
        <w:t>https://pubmed.ncbi.nlm.nih.gov/42782865/</w:t>
      </w:r>
    </w:p>
    <w:p>
      <w:pPr>
        <w:pStyle w:val="Heading2"/>
      </w:pPr>
      <w:r>
        <w:t>Diätassistentin-geführtes Webinar verbessert Wissen und Verhalten bei Zöliakie</w:t>
      </w:r>
    </w:p>
    <w:p>
      <w:r>
        <w:rPr>
          <w:i/>
          <w:color w:val="666666"/>
          <w:sz w:val="18"/>
        </w:rPr>
        <w:t>Seamark L et al.  ·  J Hum Nutr Diet  ·  Okt. 2026  ·  PMID 42779232</w:t>
      </w:r>
    </w:p>
    <w:p>
      <w:r>
        <w:t>Diätassistentinnen erstellten ein Webinar zur glutenfreien Ernährung für Patienten mit Zöliakie und evaluierten den Wissens- und Verhaltenseffekt vor und nach dem Anschauen.</w:t>
      </w:r>
    </w:p>
    <w:p>
      <w:r>
        <w:rPr>
          <w:b/>
        </w:rPr>
        <w:t xml:space="preserve">Ergebnis: </w:t>
      </w:r>
      <w:r>
        <w:t>Von 1050 Zugriff durch erwachsene Patienten (57% innerhalb 8 Wochen nach Diagnose) zeigten 165 Komplettbeantworter signifikante Verbesserungen: Sicherheit (p&lt;0,001) und Wissen (p&lt;0,001) zur glutenfreien Diät. Von 71 mit Symptomen bei Glutenaufnahme berichteten nachher mehr zufriedenstellende Symptomlinderung (p=0,02). Mehr Patienten praktizieren Maßnahmen zur Glutenvermeidung zuhause und haben glutenfreie Lebensmittel unterwegs dabei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Britischer Kontext NHS, digitale Spezialistenkommunikation, skalierbar auf deutschsprachige Diätologie</w:t>
      </w:r>
    </w:p>
    <w:p>
      <w:r>
        <w:rPr>
          <w:color w:val="5A7D3A"/>
          <w:sz w:val="18"/>
        </w:rPr>
        <w:t>https://pubmed.ncbi.nlm.nih.gov/42779232/</w:t>
      </w:r>
    </w:p>
    <w:p>
      <w:pPr>
        <w:pStyle w:val="Heading2"/>
      </w:pPr>
      <w:r>
        <w:t>Gesundheitskompetenz prägt Informationsverhalten unterschiedlich je Alter</w:t>
      </w:r>
    </w:p>
    <w:p>
      <w:r>
        <w:rPr>
          <w:i/>
          <w:color w:val="666666"/>
          <w:sz w:val="18"/>
        </w:rPr>
        <w:t>Kwon DH et al.  ·  JMIR Public Health Surveill  ·  23.09.2026  ·  PMID 42777145</w:t>
      </w:r>
    </w:p>
    <w:p>
      <w:r>
        <w:t>Südkoreanische Querschnittsstudie (N=7910) untersuchte, ob Gesundheitskompetenz die Assoziation zwischen Alter und zwei Stufen der Gesundheitsinformationssuche (Erfahrung und Quelltyp) erklärt.</w:t>
      </w:r>
    </w:p>
    <w:p>
      <w:r>
        <w:rPr>
          <w:b/>
        </w:rPr>
        <w:t xml:space="preserve">Ergebnis: </w:t>
      </w:r>
      <w:r>
        <w:t>Mittlere HL-Werte sanken mit Alter (14,10±2,94 bei 19–44 Jahren vs. 8,34±4,65 bei ≥65 Jahren). Informationssuchprävalenz war höchst bei Jüngsten (66,7%) und niedrigst bei Ältesten (30,2%). Im aktiven Informationssuchen-Modus waren 92,7% der Jüngsten vs. 48,2% der Ältesten. HL war signifikant assoziiert mit Informationsverhalten bei 45–64 und ≥65 Jahren, nicht bei 19–44 Jahren; dort waren Bildung und Gesundheitsfaktoren salienter.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hochdigitalisiertes System, Hinweis auf altersgerechte Strategien jenseits reiner HL</w:t>
      </w:r>
    </w:p>
    <w:p>
      <w:r>
        <w:rPr>
          <w:color w:val="5A7D3A"/>
          <w:sz w:val="18"/>
        </w:rPr>
        <w:t>https://pubmed.ncbi.nlm.nih.gov/42777145/</w:t>
      </w:r>
    </w:p>
    <w:p>
      <w:pPr>
        <w:pStyle w:val="Heading2"/>
      </w:pPr>
      <w:r>
        <w:t>Rahmenwerk zur klinischen Bewertung von KI-Patientenedukation nach Verständlichkeit</w:t>
      </w:r>
    </w:p>
    <w:p>
      <w:r>
        <w:rPr>
          <w:i/>
          <w:color w:val="666666"/>
          <w:sz w:val="18"/>
        </w:rPr>
        <w:t>Austria D et al.  ·  JMIR Form Res  ·  21.09.2026  ·  PMID 42766478</w:t>
      </w:r>
    </w:p>
    <w:p>
      <w:r>
        <w:t>Autorengruppe entwickelt TAM-MCRS-Evaluierungsrahmen für Kliniker, um von großen Sprachmodellen erzeugte Patientenmaterialien auf Genauigkeit, Verständlichkeit und Vollständigkeit zu bewerten, unter Kontrolle von Evaluator-Einstellungen.</w:t>
      </w:r>
    </w:p>
    <w:p>
      <w:r>
        <w:rPr>
          <w:b/>
        </w:rPr>
        <w:t xml:space="preserve">Ergebnis: </w:t>
      </w:r>
      <w:r>
        <w:t>Das Rahmenwerk paart Technologieakzeptanzmodell (TAM) mit Medizinische-Erkrankung-Würdigung-Skala (MCRS). TAM ordnet wahrgenommene Nützlichkeit auf Genauigkeit/Vollständigkeit, wahrgenommene Bedienfreundlichkeit auf Klarheit/Angemessenheit. Nach Bewertung durch klinisches Panel wird MCRS als Kovariat für Evaluator-Einstellung administriert, um zu testen, ob Einstellung die Ratings beeinflusst. Ziel: objektive, theoriegestützte, klinisch realistische und Ungleichheit-responsive Evidenz.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Konzeptpapier für KI-Governance, Übertragbarkeit auf deutsche Kliniken hoch bei Adaptierung an ärztliche Entscheidungskultur</w:t>
      </w:r>
    </w:p>
    <w:p>
      <w:r>
        <w:rPr>
          <w:color w:val="5A7D3A"/>
          <w:sz w:val="18"/>
        </w:rPr>
        <w:t>https://pubmed.ncbi.nlm.nih.gov/42766478/</w:t>
      </w:r>
    </w:p>
    <w:p>
      <w:pPr>
        <w:pStyle w:val="Heading2"/>
      </w:pPr>
      <w:r>
        <w:t>Wahrgenommene Physical Literacy vermittelt Bewegung und Ausdauerfitness bei Jugendlichen</w:t>
      </w:r>
    </w:p>
    <w:p>
      <w:r>
        <w:rPr>
          <w:i/>
          <w:color w:val="666666"/>
          <w:sz w:val="18"/>
        </w:rPr>
        <w:t>Valle-Muñoz VM et al.  ·  Front Public Health  ·  09.06.2026  ·  PMID 42344264</w:t>
      </w:r>
    </w:p>
    <w:p>
      <w:r>
        <w:t>Studie untersuchte in Spanien (ENERGYCO), wie wahrgenommene Physical Literacy die Beziehung zwischen körperlicher Aktivität und kardiorespiratorischer Fitness bei Jugendlichen vermittelt.</w:t>
      </w:r>
    </w:p>
    <w:p>
      <w:r>
        <w:rPr>
          <w:b/>
        </w:rPr>
        <w:t xml:space="preserve">Ergebnis: </w:t>
      </w:r>
      <w:r>
        <w:t>Bei 262 spanischen Jugendlichen (Median 14,3 Jahre, 47,7% Mädchen) zeigte die Mediationsanalyse einen signifikanten indirekten Effekt von Aktivität auf VO₂max durch Physical Literacy (indirekter Effekt=0,61, 95% BCa CI 0,14–1,16), der 54,2% des Gesamteffekts ausmachte. Besonders relevant waren Kommunikation (indirekter Effekt=0,38, 95% BCa CI 0,05–0,77) und Wissen/Verständnis (indirekter Effekt=0,60, 95% BCa CI 0,17–1,08).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Schulsystem, Fitness-Assessment, europäisch übertragbar auf deutschsprachige Prävention</w:t>
      </w:r>
    </w:p>
    <w:p>
      <w:r>
        <w:rPr>
          <w:color w:val="5A7D3A"/>
          <w:sz w:val="18"/>
        </w:rPr>
        <w:t>https://pubmed.ncbi.nlm.nih.gov/42344264/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2026-09-25T06:00:00Z</dcterms:created>
  <dcterms:modified xsi:type="dcterms:W3CDTF">2026-09-25T06:00:00Z</dcterms:modified>
  <cp:category/>
</cp:coreProperties>
</file>