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</w:t>
      </w:r>
    </w:p>
    <w:p>
      <w:r>
        <w:rPr>
          <w:i/>
          <w:color w:val="666666"/>
          <w:sz w:val="18"/>
        </w:rPr>
        <w:t>Stand: 18.10.2026  |  6 Studien  |  healthliteracy.m-vf.de</w:t>
      </w:r>
    </w:p>
    <w:p>
      <w:pPr>
        <w:pStyle w:val="Heading1"/>
      </w:pPr>
      <w:r>
        <w:t>Aufgenommen am 18.10.2026</w:t>
      </w:r>
    </w:p>
    <w:p>
      <w:pPr>
        <w:pStyle w:val="Heading2"/>
      </w:pPr>
      <w:r>
        <w:t>Bildung und Gesundheitskompetenz: Starker Gradient bei Umweltrisiken</w:t>
      </w:r>
    </w:p>
    <w:p>
      <w:r>
        <w:rPr>
          <w:i/>
          <w:color w:val="666666"/>
          <w:sz w:val="18"/>
        </w:rPr>
        <w:t>Luo X et al.  ·  Front Public Health  ·  02.10.2026  ·  PMID 42890812</w:t>
      </w:r>
    </w:p>
    <w:p>
      <w:r>
        <w:t>Querschnittsstudie zu Umwelt-Health Literacy bei 1.773 erwachsenen Stadtbewohnern in China mit standardisiertem 30-Item-Messinstrument.</w:t>
      </w:r>
    </w:p>
    <w:p>
      <w:r>
        <w:rPr>
          <w:b/>
        </w:rPr>
        <w:t xml:space="preserve">Ergebnis: </w:t>
      </w:r>
      <w:r>
        <w:t>Höhere Schulbildung zeigte stärksten Effekt auf Health Literacy: Personen mit Masterabschluss erzielen 11,32 Punkte höhere Werte (95%-KI: 7,84–14,80) als Personen mit Grundschulabschluss; adjustierte Quote suffiziente Kompetenz 10,06× höher (95%-KI: 3,82–28,98). 88,8% der Stichprobe erfüllten Schwelle ausreichender Kompetenz. Signifikante Geschlechts-×-Bildungs-Interaktionen zeigen Ungleichheit nach Geschlecht und Bildung.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Befund zu Bildungsungleichheit systematisch übertragbar auf deutsche Risikogruppen</w:t>
      </w:r>
    </w:p>
    <w:p>
      <w:r>
        <w:rPr>
          <w:color w:val="5A7D3A"/>
          <w:sz w:val="18"/>
        </w:rPr>
        <w:t>https://pubmed.ncbi.nlm.nih.gov/42890812/</w:t>
      </w:r>
    </w:p>
    <w:p>
      <w:pPr>
        <w:pStyle w:val="Heading2"/>
      </w:pPr>
      <w:r>
        <w:t>Digitale Gesundheitskompetenz im Alter: Drei unterschiedliche Nutzerprofile</w:t>
      </w:r>
    </w:p>
    <w:p>
      <w:r>
        <w:rPr>
          <w:i/>
          <w:color w:val="666666"/>
          <w:sz w:val="18"/>
        </w:rPr>
        <w:t>Xiao Z et al.  ·  Front Public Health  ·  02.10.2026  ·  PMID 42890732</w:t>
      </w:r>
    </w:p>
    <w:p>
      <w:r>
        <w:t>Latente Profilanalyse bei 544 älteren Diabetespatienten (≥60 Jahre) zur eHealth Literacy anhand Chinesischer eHealth Literacy Scale.</w:t>
      </w:r>
    </w:p>
    <w:p>
      <w:r>
        <w:rPr>
          <w:b/>
        </w:rPr>
        <w:t xml:space="preserve">Ergebnis: </w:t>
      </w:r>
      <w:r>
        <w:t>Drei Kompetenzprofile identifiziert: Skill-Dependent 56,8% (Mittelwert 26,88), Comprehensive Deficit 15,1% (17,76), Comprehensive Advancement 28,1% (34,72), obwohl Stichprobenmittel nur 27,71±5,93. Höheres Alter (OR 8,50 pro 10 Jahre vs. Comprehensive Advancement), höhere Angst vor Krankheitsprogression (OR 4,60 pro 5 Punkte) und niedrigere Selbstwirksamkeit prädiktiv für niedrigere Profile. Ein Mittelwert verschleiert diese klinisch relevanten Unterschiede.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Befund zu heterogenen Profilen überträgt sich auf deutsche Diabetes-Älteren</w:t>
      </w:r>
    </w:p>
    <w:p>
      <w:r>
        <w:rPr>
          <w:color w:val="5A7D3A"/>
          <w:sz w:val="18"/>
        </w:rPr>
        <w:t>https://pubmed.ncbi.nlm.nih.gov/42890732/</w:t>
      </w:r>
    </w:p>
    <w:p>
      <w:pPr>
        <w:pStyle w:val="Heading2"/>
      </w:pPr>
      <w:r>
        <w:t>Digitale Kompetenz und Behandlungssicherheit bei Herzpatienten: Psychische Faktoren als Schlüssel</w:t>
      </w:r>
    </w:p>
    <w:p>
      <w:r>
        <w:rPr>
          <w:i/>
          <w:color w:val="666666"/>
          <w:sz w:val="18"/>
        </w:rPr>
        <w:t>Huang Y et al.  ·  Front Public Health  ·  01.10.2026  ·  PMID 42889363</w:t>
      </w:r>
    </w:p>
    <w:p>
      <w:r>
        <w:t>Querschnittstudie mit CHD-Patienten (n nicht genannt) zur Assoziation von eHealth Literacy mit Entscheidungskonflikt, mediiert durch Cyberchondria und psychologische Inflexibilität mit latenter Profilanalyse.</w:t>
      </w:r>
    </w:p>
    <w:p>
      <w:r>
        <w:rPr>
          <w:b/>
        </w:rPr>
        <w:t xml:space="preserve">Ergebnis: </w:t>
      </w:r>
      <w:r>
        <w:t>eHealth Literacy signifikant und negativ assoziiert mit Entscheidungskonflikt. Cyberchondria und psychologische Inflexibilität mediieren diese Assoziation. Zwei latente Profile identifiziert: hohes und niedriges eHealth Literacy, unterscheiden sich signifikant in Entscheidungskonflikt, Cyberchondria und psychologischer Flexibilität. Person-zentrierter Ansatz enthüllt zwei Subgruppen statt eines Kontinuums.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Befund zu psychischen Blockaden bei digitaler Kompetenznutzung auf deutsche Herzpatienten übertragbar</w:t>
      </w:r>
    </w:p>
    <w:p>
      <w:r>
        <w:rPr>
          <w:color w:val="5A7D3A"/>
          <w:sz w:val="18"/>
        </w:rPr>
        <w:t>https://pubmed.ncbi.nlm.nih.gov/42889363/</w:t>
      </w:r>
    </w:p>
    <w:p>
      <w:pPr>
        <w:pStyle w:val="Heading2"/>
      </w:pPr>
      <w:r>
        <w:t>Wie weibliche Studierende zu HPV-Wissen gelangen: Kanäle und Glaubwürdigkeit entscheidend</w:t>
      </w:r>
    </w:p>
    <w:p>
      <w:r>
        <w:rPr>
          <w:i/>
          <w:color w:val="666666"/>
          <w:sz w:val="18"/>
        </w:rPr>
        <w:t>Xie M et al.  ·  Front Public Health  ·  01.10.2026  ·  PMID 42889210</w:t>
      </w:r>
    </w:p>
    <w:p>
      <w:r>
        <w:t>Querschnittstudie mit 519 Studentinnen in China: Mediation von Health Information Literacy zwischen Informationssuche und HPV-Wissen, moderiert durch Kanaltyp (professional vs. non-professional) und Vertrauenspräferenz.</w:t>
      </w:r>
    </w:p>
    <w:p>
      <w:r>
        <w:rPr>
          <w:b/>
        </w:rPr>
        <w:t xml:space="preserve">Ergebnis: </w:t>
      </w:r>
      <w:r>
        <w:t>Health Information Literacy mediiert Effekt (indirekt: 0,056, 95%-KI [0,019–0,093]). Bei nicht-professionellen Kanälen war HIL-Wissen-Assoziation signifikant (B=0,112, p&lt;0,001), bei professionellen nicht (B=0,018, p=0,521). Vertrauenspräferenz zeigt vierfach stärkere Assoziation für nicht-professionelle Kanäle (B=0,210 vs. 0,049). Kanalcharakteristiken beeinflussen stark, ob Kompetenzen in Wissen übersetzt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Befund zu Kanaleffekten auf Wissen systematisch auf deutsche Informationsqualität übertragbar</w:t>
      </w:r>
    </w:p>
    <w:p>
      <w:r>
        <w:rPr>
          <w:color w:val="5A7D3A"/>
          <w:sz w:val="18"/>
        </w:rPr>
        <w:t>https://pubmed.ncbi.nlm.nih.gov/42889210/</w:t>
      </w:r>
    </w:p>
    <w:p>
      <w:pPr>
        <w:pStyle w:val="Heading2"/>
      </w:pPr>
      <w:r>
        <w:t>Patient Activation bei Dialyse: Digitale Begleitung erhöht Patientenbeteiligung, aber mit Hürden</w:t>
      </w:r>
    </w:p>
    <w:p>
      <w:r>
        <w:rPr>
          <w:i/>
          <w:color w:val="666666"/>
          <w:sz w:val="18"/>
        </w:rPr>
        <w:t>Wickens M et al.  ·  J Med Internet Res  ·  16.10.2026  ·  PMID 42887003</w:t>
      </w:r>
    </w:p>
    <w:p>
      <w:r>
        <w:t>Gemischte Methoden zur Patient Activation via 5 Module und 5 Videokonferenzen mit Peer-Mentoring bei Hämodialysepatienten (639 Patienten, 10 Zentren, USA).</w:t>
      </w:r>
    </w:p>
    <w:p>
      <w:r>
        <w:rPr>
          <w:b/>
        </w:rPr>
        <w:t xml:space="preserve">Ergebnis: </w:t>
      </w:r>
      <w:r>
        <w:t>Rekrutiert 155/639 (24,3%), Jüngere Patienten eher rekrutiert (57,6 vs. 64,3 Jahre, p&lt;0,001); jedes Zusatzjahr: 4% niedrigere Chancen (OR 0,96, 95%-KI: 0,94–0,98). Engagement höher bei Männern (IRR 1,33, p&lt;0,001), Schwarzen Patienten (IRR 1,27, p&lt;0,001). Von 155 Rekrutierten vollendeten 58 (37,4%) alle 5 Sessions. Durchschnittlicher Engagement-Score 18,4/50. Hauptverhalten: Patientenmittelung (81% der Ziele, 40,7% realisierten dies). 100% Zufriedenheit unter Mentees. Wichtigste Barriere: Rekrutierung und frühe Attrition vor Beginn.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Befund zu Alters- und Geschlechtsbias bei Engagement und Beteiligung auf deutsche Dialyse übertragbar</w:t>
      </w:r>
    </w:p>
    <w:p>
      <w:r>
        <w:rPr>
          <w:color w:val="5A7D3A"/>
          <w:sz w:val="18"/>
        </w:rPr>
        <w:t>https://pubmed.ncbi.nlm.nih.gov/42887003/</w:t>
      </w:r>
    </w:p>
    <w:p>
      <w:pPr>
        <w:pStyle w:val="Heading2"/>
      </w:pPr>
      <w:r>
        <w:t>Hüftoperation: App, Liveunterricht oder Broschüre – keine Unterschiede beim Verständnis</w:t>
      </w:r>
    </w:p>
    <w:p>
      <w:r>
        <w:rPr>
          <w:i/>
          <w:color w:val="666666"/>
          <w:sz w:val="18"/>
        </w:rPr>
        <w:t>DE Smet A et al.  ·  Acta Orthop Belg  ·  08.10.2026  ·  PMID 42885460</w:t>
      </w:r>
    </w:p>
    <w:p>
      <w:r>
        <w:t>Randomisierte kontrollierte Studie: 79 Patienten vor Hüftgelenksersatz in drei Gruppen (Broschüre n=29, Live-Sitzung n=24, Mobile App n=26) – Vergleich von Aufenthaltsdauer, Patientenzufriedenheit und postoperativen Ergebnissen.</w:t>
      </w:r>
    </w:p>
    <w:p>
      <w:r>
        <w:rPr>
          <w:b/>
        </w:rPr>
        <w:t xml:space="preserve">Ergebnis: </w:t>
      </w:r>
      <w:r>
        <w:t>Krankenhausaufenthalt 4,25±3 Tage, kein signifikanter Unterschied zwischen Gruppen (p=0,525). Zufriedenheit mit Unterrichtsmethode (p=0,997) und Informationsinhalt (p=0,365) gleich in allen Gruppen. App-Gruppe berichtete leicht höhere Motivation für Übungen, nicht signifikant. Alle Gruppen zeigten signifikante postoperative Verbesserungen (p&lt;0,001), keine Unterschiede in Magnitude. Zusatzkosten für Live-Sitzungen und App-Einsatz überwiegen begrenzte Vorteile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Gesundheitssystem, direkt auf deutsche Orthopädie-Praxen übertragbar</w:t>
      </w:r>
    </w:p>
    <w:p>
      <w:r>
        <w:rPr>
          <w:color w:val="5A7D3A"/>
          <w:sz w:val="18"/>
        </w:rPr>
        <w:t>https://pubmed.ncbi.nlm.nih.gov/42885460/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</dc:title>
  <dc:subject/>
  <dc:creator>Monitor Versorgungsforschung</dc:creator>
  <cp:keywords/>
  <dc:description>generated by python-docx</dc:description>
  <cp:lastModifiedBy/>
  <cp:revision>1</cp:revision>
  <dcterms:created xsi:type="dcterms:W3CDTF">2026-10-18T06:00:00Z</dcterms:created>
  <dcterms:modified xsi:type="dcterms:W3CDTF">2026-10-18T06:00:00Z</dcterms:modified>
  <cp:category/>
</cp:coreProperties>
</file>