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27.08.2026  |  6 Studien  |  healthliteracy.m-vf.de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Kommunikationsstrategien für Kinderbeteiligung in Dreier-Gesprächen im Gesundheitswesen</w:t>
      </w:r>
    </w:p>
    <w:p>
      <w:r>
        <w:rPr>
          <w:i/>
          <w:color w:val="666666"/>
          <w:sz w:val="18"/>
        </w:rPr>
        <w:t>Alharbi M et al.  ·  Health Expect  ·  Okt. 2026  ·  PMID 42649109</w:t>
      </w:r>
    </w:p>
    <w:p>
      <w:r>
        <w:t>Scoping Review von 37 Studien zu Kommunikationsstilen (Dyadic vs. Triadic) von Fachpersonen und Eltern, die Kinderbeteiligung bei Gesundheitsentscheidungen beeinflussen.</w:t>
      </w:r>
    </w:p>
    <w:p>
      <w:r>
        <w:rPr>
          <w:b/>
        </w:rPr>
        <w:t xml:space="preserve">Ergebnis: </w:t>
      </w:r>
      <w:r>
        <w:t>37 von 41 Studien zeigten geringe Kindenbeteiligung; supportive, offene und kinderfreundliche Kommunikation förderte aktive Beteiligung; Barrieren: direktive/aufgabenorientierte Stile der Fachpersonen und dominante Elternrollen.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 (Zahnmedizin, Pädiatrie); britische Studien und JBI-Rahmen angewendet.</w:t>
      </w:r>
    </w:p>
    <w:p>
      <w:r>
        <w:rPr>
          <w:color w:val="5A7D3A"/>
          <w:sz w:val="18"/>
        </w:rPr>
        <w:t>https://pubmed.ncbi.nlm.nih.gov/42649109/</w:t>
      </w:r>
    </w:p>
    <w:p>
      <w:pPr>
        <w:pStyle w:val="Heading2"/>
      </w:pPr>
      <w:r>
        <w:t>Co-Design von Lungenkrebspatienten verbessert Akzeptanz eines Bewegungsprogramms</w:t>
      </w:r>
    </w:p>
    <w:p>
      <w:r>
        <w:rPr>
          <w:i/>
          <w:color w:val="666666"/>
          <w:sz w:val="18"/>
        </w:rPr>
        <w:t>Beggs M et al.  ·  Health Expect  ·  Aug. 2026  ·  PMID 42644664</w:t>
      </w:r>
    </w:p>
    <w:p>
      <w:r>
        <w:t>Partizipatives Studiendesign, in dem Lungenkrebspatienten und Angehörige in Workshops ein präoperatives Bewegungsprogramm mitgestalteten und dabei 15 Barrieren und 40 Förderfaktoren identifizierten.</w:t>
      </w:r>
    </w:p>
    <w:p>
      <w:r>
        <w:rPr>
          <w:b/>
        </w:rPr>
        <w:t xml:space="preserve">Ergebnis: </w:t>
      </w:r>
      <w:r>
        <w:t>Sieben Teilnehmende (drei Lungenkrebspatienten, vier Angehörige) bewerteten tägliches Training mit 20 min Dauer und personalisierter Intensität als akzeptabel; Supervision und professionelle Beziehungen als essentiell für Effektivität.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Qualitatives Design übertragbar auf deutsches Versorgungssystem; Partizipation ist strukturell verankert.</w:t>
      </w:r>
    </w:p>
    <w:p>
      <w:r>
        <w:rPr>
          <w:color w:val="5A7D3A"/>
          <w:sz w:val="18"/>
        </w:rPr>
        <w:t>https://pubmed.ncbi.nlm.nih.gov/42644664/</w:t>
      </w:r>
    </w:p>
    <w:p>
      <w:pPr>
        <w:pStyle w:val="Heading2"/>
      </w:pPr>
      <w:r>
        <w:t>Gesundheitskompetenz bestimmt wissensabhängige Malaria-Präventionsverhalten</w:t>
      </w:r>
    </w:p>
    <w:p>
      <w:r>
        <w:rPr>
          <w:i/>
          <w:color w:val="666666"/>
          <w:sz w:val="18"/>
        </w:rPr>
        <w:t>Namubiru C et al.  ·  BMC Health Serv Res  ·  24.08.2026  ·  PMID 42642735</w:t>
      </w:r>
    </w:p>
    <w:p>
      <w:r>
        <w:t>Querschnittstudie mit 504 Teilnehmenden in Gabun, Zusammenhang zwischen Health Literacy (HLS-EU-Q16) und Malaria-Verhaltensweisen gemessen.</w:t>
      </w:r>
    </w:p>
    <w:p>
      <w:r>
        <w:rPr>
          <w:b/>
        </w:rPr>
        <w:t xml:space="preserve">Ergebnis: </w:t>
      </w:r>
      <w:r>
        <w:t>59,7 % mit ausreichender HL; HL war statistisch signifikant assoziiert mit Dosierungswissen (AME = 0,022, p &lt; 0,001), Medikamenten-Adhärenz (OR = 1,089, p &lt; 0,01), Fragen stellen (OR = 1,092, p &lt; 0,001) und Netzbenutzung (p &lt; 0,05); aber nicht mit Strukturmaßnahmen wie Bekämpfung oder Spritzen.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Gabon, ähnliche Herausforderungen wie in Subsahara-Afrika; Fokus auf kommunikative statt strukturelle Ansätze.</w:t>
      </w:r>
    </w:p>
    <w:p>
      <w:r>
        <w:rPr>
          <w:color w:val="5A7D3A"/>
          <w:sz w:val="18"/>
        </w:rPr>
        <w:t>https://pubmed.ncbi.nlm.nih.gov/42642735/</w:t>
      </w:r>
    </w:p>
    <w:p>
      <w:pPr>
        <w:pStyle w:val="Heading2"/>
      </w:pPr>
      <w:r>
        <w:t>Umweltbildung korreliert mit Gesundheitsverhalten – aber Evidenz ist schwach</w:t>
      </w:r>
    </w:p>
    <w:p>
      <w:r>
        <w:rPr>
          <w:i/>
          <w:color w:val="666666"/>
          <w:sz w:val="18"/>
        </w:rPr>
        <w:t>Paulsen L et al.  ·  Front Public Health  ·  27.07.2026  ·  PMID 42577351</w:t>
      </w:r>
    </w:p>
    <w:p>
      <w:r>
        <w:t>Systematischer Review von fünf Querschnittsstudien (2020–2024) zu Zusammenhang zwischen Umwelt- und Nachhaltigkeitskompetenz und Gesundheitsverhalten.</w:t>
      </w:r>
    </w:p>
    <w:p>
      <w:r>
        <w:rPr>
          <w:b/>
        </w:rPr>
        <w:t xml:space="preserve">Ergebnis: </w:t>
      </w:r>
      <w:r>
        <w:t>Drei Studien berichteten positive Assoziationen zwischen Umweltbildung und Gesundheitsverhalten (Ernährung, Rauchen); eine Studie identifizierte Erklärungspfad über Umwelteinstellungen und Lebensstil; heterogene Konzepte und Messinstrumente, Querschnittsdesign, keine Kausalitätsaussagen möglich.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Schweiz teilweise beteiligt; Nachhaltigkeitskohärenz ist systemübergreifend relevant.</w:t>
      </w:r>
    </w:p>
    <w:p>
      <w:r>
        <w:rPr>
          <w:color w:val="5A7D3A"/>
          <w:sz w:val="18"/>
        </w:rPr>
        <w:t>https://pubmed.ncbi.nlm.nih.gov/42577351/</w:t>
      </w:r>
    </w:p>
    <w:p>
      <w:pPr>
        <w:pStyle w:val="Heading2"/>
      </w:pPr>
      <w:r>
        <w:t>Sprachbarrieren und Vertrauen prägen Gesundheitskompetenz von Migrantinnen mit Rheuma</w:t>
      </w:r>
    </w:p>
    <w:p>
      <w:r>
        <w:rPr>
          <w:i/>
          <w:color w:val="666666"/>
          <w:sz w:val="18"/>
        </w:rPr>
        <w:t>Treacy L et al.  ·  Front Public Health  ·  29.06.2026  ·  PMID 42445919</w:t>
      </w:r>
    </w:p>
    <w:p>
      <w:r>
        <w:t>Qualitative Studie mit 19 Interviews zu Gesundheitskompetenz von Migrantinnen mit Rheuma in Norwegen und limitierter Sprachkompetenz.</w:t>
      </w:r>
    </w:p>
    <w:p>
      <w:r>
        <w:rPr>
          <w:b/>
        </w:rPr>
        <w:t xml:space="preserve">Ergebnis: </w:t>
      </w:r>
      <w:r>
        <w:t>Drei zentrale Themen: (1) Sprachkompetenz, digitale Literatur und sozialer Rückhalt formen Zugang; (2) Vertrauen entwickelt sich über Zeit, nicht automatisch durch Aufenthaltsdauer; (3) Beschäftigung beeinflusst Krankheitsmanagement; systemische Annahmen über Sprach- und digitale Fähigkeiten schaffen Lücken.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ähnliche Migrations- und Gesundheitssysteme wie Deutschland; Sprachanpassungen essentiell.</w:t>
      </w:r>
    </w:p>
    <w:p>
      <w:r>
        <w:rPr>
          <w:color w:val="5A7D3A"/>
          <w:sz w:val="18"/>
        </w:rPr>
        <w:t>https://pubmed.ncbi.nlm.nih.gov/42445919/</w:t>
      </w:r>
    </w:p>
    <w:p>
      <w:pPr>
        <w:pStyle w:val="Heading2"/>
      </w:pPr>
      <w:r>
        <w:t>Pflegefachpersonen und Shared Decision Making: Wirkung auf Patienten-Beteiligung</w:t>
      </w:r>
    </w:p>
    <w:p>
      <w:r>
        <w:rPr>
          <w:i/>
          <w:color w:val="666666"/>
          <w:sz w:val="18"/>
        </w:rPr>
        <w:t>Finderup J et al.  ·  Int J Nurs Stud  ·  06.07.2026  ·  PMID 42424661</w:t>
      </w:r>
    </w:p>
    <w:p>
      <w:r>
        <w:t>Scoping Review von 23 Studien zu pflegefachpersonengeführtem Shared Decision Making mit Training, strukturierten Konsultationen oder Entscheidungshilfen.</w:t>
      </w:r>
    </w:p>
    <w:p>
      <w:r>
        <w:rPr>
          <w:b/>
        </w:rPr>
        <w:t xml:space="preserve">Ergebnis: </w:t>
      </w:r>
      <w:r>
        <w:t>Interventionen erhöhten Patientenbeteiligung, wahrgenommenes Empowerment, Zufriedenheit mit Entscheidungen, Selbstvertrauen und Adhärenz; Barrieren: Zeitmangel und fehlende organisatorische 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Studien (Skandinavien, Niederlande), Kontexte vergleichbar mit Deutschland (Nephrologie, Onkologie, Psychiatrie).</w:t>
      </w:r>
    </w:p>
    <w:p>
      <w:r>
        <w:rPr>
          <w:color w:val="5A7D3A"/>
          <w:sz w:val="18"/>
        </w:rPr>
        <w:t>https://pubmed.ncbi.nlm.nih.gov/42424661/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2026-08-27T06:00:00Z</dcterms:created>
  <dcterms:modified xsi:type="dcterms:W3CDTF">2026-08-27T06:00:00Z</dcterms:modified>
  <cp:category/>
</cp:coreProperties>
</file>