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26.09.2026  |  6 Studien  |  healthliteracy.m-vf.de</w:t>
      </w:r>
    </w:p>
    <w:p>
      <w:pPr>
        <w:pStyle w:val="Heading1"/>
      </w:pPr>
      <w:r>
        <w:t>Aufgenommen am 26.09.2026</w:t>
      </w:r>
    </w:p>
    <w:p>
      <w:pPr>
        <w:pStyle w:val="Heading2"/>
      </w:pPr>
      <w:r>
        <w:t>Patientenbeteiligung bei digitaler Überwachung: Co-Design für Aortendissektion</w:t>
      </w:r>
    </w:p>
    <w:p>
      <w:r>
        <w:rPr>
          <w:i/>
          <w:color w:val="666666"/>
          <w:sz w:val="18"/>
        </w:rPr>
        <w:t>Grewal N et al.  ·  BMJ Open  ·  25.09.2026  ·  PMID 42790905</w:t>
      </w:r>
    </w:p>
    <w:p>
      <w:r>
        <w:t>Qualitative Co-Creation-Studie mit 76 Patienten mit thorakaler Aortendissektion in vier Phasen, um Monitoring-Domains zu identifizieren, die Patienten selbst als bedeutsam erachten.</w:t>
      </w:r>
    </w:p>
    <w:p>
      <w:r>
        <w:rPr>
          <w:b/>
        </w:rPr>
        <w:t xml:space="preserve">Ergebnis: </w:t>
      </w:r>
      <w:r>
        <w:t>Fünf wiederkehrende Domains: Unsicherheit und Rezidivangst managen, Symptome interpretieren, Blutdrucküberwachung, Lebenspartizipation und Zugänglichkeit. Diese wurden in eine Monitoring-Agenda mit Symptomkontextualisierung, Blutdrucktrends, Patient-Reported Outcomes, Aktivitäts-Feedback, Entscheidungshilfen und Eskalationspfaden übersetzt. Patienten betonten Monitoring als Ergänzung, nicht Ersatz für bildgebende Verfahren.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tertiäres Zentrum – Strukturen nicht ohne Weiteres übertragbar, aber Co-Design-Methode bewährt.</w:t>
      </w:r>
    </w:p>
    <w:p>
      <w:r>
        <w:rPr>
          <w:color w:val="5A7D3A"/>
          <w:sz w:val="18"/>
        </w:rPr>
        <w:t>https://pubmed.ncbi.nlm.nih.gov/42790905/</w:t>
      </w:r>
    </w:p>
    <w:p>
      <w:pPr>
        <w:pStyle w:val="Heading2"/>
      </w:pPr>
      <w:r>
        <w:t>Konsistenz der Stillaufklärung über perinatale Periode: eHealth-Lösung gefordert</w:t>
      </w:r>
    </w:p>
    <w:p>
      <w:r>
        <w:rPr>
          <w:i/>
          <w:color w:val="666666"/>
          <w:sz w:val="18"/>
        </w:rPr>
        <w:t>Abbass-Dick J et al.  ·  J Mother Child  ·  01.01.2026  ·  PMID 42790888</w:t>
      </w:r>
    </w:p>
    <w:p>
      <w:r>
        <w:t>Deskriptive Befragung von 93 Fachpersonen und 78 Müttern zu Erfahrungen mit Stillaufklärung und Eignung von eHealth-Ressourcen zur Standardisierung.</w:t>
      </w:r>
    </w:p>
    <w:p>
      <w:r>
        <w:rPr>
          <w:b/>
        </w:rPr>
        <w:t xml:space="preserve">Ergebnis: </w:t>
      </w:r>
      <w:r>
        <w:t>Mütter erhielten Aufklärung von diversen Fachpersonen mit variierender Information zu verschiedenen Zeitpunkten. Mündliche Kommunikation war häufigste Methode. Beide Gruppen nannten Online-Videos und Websites als wirksamste digitale Lösungen. Mangel an Konsistenz und Zugänglichkeit über die gesamte perinatale Phase identifiziert.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– Organisierungsmodell unterschiedlich, aber Fragmentierung perinataler Beratung systemübergreifend relevant.</w:t>
      </w:r>
    </w:p>
    <w:p>
      <w:r>
        <w:rPr>
          <w:color w:val="5A7D3A"/>
          <w:sz w:val="18"/>
        </w:rPr>
        <w:t>https://pubmed.ncbi.nlm.nih.gov/42790888/</w:t>
      </w:r>
    </w:p>
    <w:p>
      <w:pPr>
        <w:pStyle w:val="Heading2"/>
      </w:pPr>
      <w:r>
        <w:t>Vergleich digitaler Entscheidungshilfen für Endometriose: Qualität und Vollständigkeit unzureichend</w:t>
      </w:r>
    </w:p>
    <w:p>
      <w:r>
        <w:rPr>
          <w:i/>
          <w:color w:val="666666"/>
          <w:sz w:val="18"/>
        </w:rPr>
        <w:t>Pittet O et al.  ·  Health Expect  ·  Okt. 2026  ·  PMID 42788763</w:t>
      </w:r>
    </w:p>
    <w:p>
      <w:r>
        <w:t>Scoping Review zu digitalen Patient Decision Aids (PtDAs) für Endometriose: 10 PtDAs wurden analysiert (5 von Experten, 5 KI-generiert) nach IPDAS-Kriterien und Transparenz.</w:t>
      </w:r>
    </w:p>
    <w:p>
      <w:r>
        <w:rPr>
          <w:b/>
        </w:rPr>
        <w:t xml:space="preserve">Ergebnis: </w:t>
      </w:r>
      <w:r>
        <w:t>Die meisten PtDAs beschrieben Gesundheitszustand, Optionen mit Pro/Contra, verfehlten aber wichtige IPDAS-Kriterien. Expertengenerierte PtDAs zeigten mangelnde Transparenz in Entwicklung und fehlende formale Evaluation. KI-Aids erwähnten häufiger Komplementärmedizin. Alle zeigten Defizite in Vollständigkeit und Evidenzstützung.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strukturelles Problem unabhängig vom System – Qualitätsdefizite universell.</w:t>
      </w:r>
    </w:p>
    <w:p>
      <w:r>
        <w:rPr>
          <w:color w:val="5A7D3A"/>
          <w:sz w:val="18"/>
        </w:rPr>
        <w:t>https://pubmed.ncbi.nlm.nih.gov/42788763/</w:t>
      </w:r>
    </w:p>
    <w:p>
      <w:pPr>
        <w:pStyle w:val="Heading2"/>
      </w:pPr>
      <w:r>
        <w:t>Spirituelle Ressourcen stärken Patientenempowerment auch bei hoher Symptombelastung</w:t>
      </w:r>
    </w:p>
    <w:p>
      <w:r>
        <w:rPr>
          <w:i/>
          <w:color w:val="666666"/>
          <w:sz w:val="18"/>
        </w:rPr>
        <w:t>Gürdap Z et al.  ·  BMC Palliat Care  ·  05.08.2026  ·  PMID 42786479</w:t>
      </w:r>
    </w:p>
    <w:p>
      <w:r>
        <w:t>Querschnittsstudie mit 140 Patienten in Palliativpflege in der Türkei zur Vorhersage von Patient Empowerment durch Symptombelastung und spirituales Wohlbefinden.</w:t>
      </w:r>
    </w:p>
    <w:p>
      <w:r>
        <w:rPr>
          <w:b/>
        </w:rPr>
        <w:t xml:space="preserve">Ergebnis: </w:t>
      </w:r>
      <w:r>
        <w:t>Mittlere Symptombelastung (50,95 ± 11,41), aber moderate spirituale Wohlbefindensscores (24,25 ± 4,93) und Empowerment (3,05 ± 0,48). Regressionsmodell erklärte 42,8 % der Varianz: Spirituales Wohlbefinden (β = 0,484, p&lt;0,001) und andere chronische Erkrankungen (β = 0,372, p&lt;0,001) waren stärkste Prädiktoren; Symptombelastung zeigte keinen signifikanten 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Türkei – holistische Pflege systemunabhängig, spirituelle Begleitung in allen Kulturen relevant.</w:t>
      </w:r>
    </w:p>
    <w:p>
      <w:r>
        <w:rPr>
          <w:color w:val="5A7D3A"/>
          <w:sz w:val="18"/>
        </w:rPr>
        <w:t>https://pubmed.ncbi.nlm.nih.gov/42786479/</w:t>
      </w:r>
    </w:p>
    <w:p>
      <w:pPr>
        <w:pStyle w:val="Heading2"/>
      </w:pPr>
      <w:r>
        <w:t>Umfassende Aufklärung senkt postoperative Schmerzen nach Ureterstent-Einlage</w:t>
      </w:r>
    </w:p>
    <w:p>
      <w:r>
        <w:rPr>
          <w:i/>
          <w:color w:val="666666"/>
          <w:sz w:val="18"/>
        </w:rPr>
        <w:t>Golomb D et al.  ·  Urolithiasis  ·  24.09.2026  ·  PMID 42782293</w:t>
      </w:r>
    </w:p>
    <w:p>
      <w:r>
        <w:t>Randomisierte Pilotstudie mit 48 Patienten (19 Intervention, 29 Kontrolle): Intervention erhielt multimodale Aufklärung (Erklärung, Video, Stent-Muster), Kontrolle Standardberatung.</w:t>
      </w:r>
    </w:p>
    <w:p>
      <w:r>
        <w:rPr>
          <w:b/>
        </w:rPr>
        <w:t xml:space="preserve">Ergebnis: </w:t>
      </w:r>
      <w:r>
        <w:t>Intervention hatte niedrigeren medianen Schmerzwert POD1 (1 vs. 3, p=0,084) und weniger ungeplante Notaufnahme-Besuche (5,3 % vs. 24,1 %, OR 0,18, 95%KI 0,004–1,62; Risikodifferenz –18,9 %, p=0,123). Keine statistischen Signifikanz, aber Konfidenzintervalle vereinbar mit klinischem Nutzen. Geringe Komplikationsraten.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 – Pilotstudie, größere Fallzahl erforderlich; Konzept von Sprachenbarrieren unabhängig.</w:t>
      </w:r>
    </w:p>
    <w:p>
      <w:r>
        <w:rPr>
          <w:color w:val="5A7D3A"/>
          <w:sz w:val="18"/>
        </w:rPr>
        <w:t>https://pubmed.ncbi.nlm.nih.gov/42782293/</w:t>
      </w:r>
    </w:p>
    <w:p>
      <w:pPr>
        <w:pStyle w:val="Heading2"/>
      </w:pPr>
      <w:r>
        <w:t>Digitale Faktoren und Health Literacy: Wer ist anfällig für Gesundheitsfehlinformation?</w:t>
      </w:r>
    </w:p>
    <w:p>
      <w:r>
        <w:rPr>
          <w:i/>
          <w:color w:val="666666"/>
          <w:sz w:val="18"/>
        </w:rPr>
        <w:t>Duplaga M  ·  Stud Health Technol Inform  ·  29.06.2026  ·  PMID 42393957</w:t>
      </w:r>
    </w:p>
    <w:p>
      <w:r>
        <w:t>Online-Befragung von 2.701 polnischen Erwachsenen (18–75 Jahre) zum Zusammenhang zwischen digitalen Verhaltensweisen, Health Literacy und Anfälligkeit für Fehlinformation.</w:t>
      </w:r>
    </w:p>
    <w:p>
      <w:r>
        <w:rPr>
          <w:b/>
        </w:rPr>
        <w:t xml:space="preserve">Ergebnis: </w:t>
      </w:r>
      <w:r>
        <w:t>Höhere Social-Media-Sucht, zwanghafter Internetgebrauch und E-Health Literacy waren mit erhöhter Anfälligkeit assoziiert (p&lt;0,05). Niedrigere tägliche Internetnutzung war mit höherer Anfälligkeit verknüpft als &gt;3 Stunden/Tag. Digitale Variablen erklärten jedoch nur bescheidene zusätzliche Varianz im Gesamtmodell – begrenzte Erklärungskraft.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EU-Land mit vergleichbarem Gesundheitssystem – digitale Literacy-Befunde potenziell übertragbar.</w:t>
      </w:r>
    </w:p>
    <w:p>
      <w:r>
        <w:rPr>
          <w:color w:val="5A7D3A"/>
          <w:sz w:val="18"/>
        </w:rPr>
        <w:t>https://pubmed.ncbi.nlm.nih.gov/42393957/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2026-09-26T06:00:00Z</dcterms:created>
  <dcterms:modified xsi:type="dcterms:W3CDTF">2026-09-26T06:00:00Z</dcterms:modified>
  <cp:category/>
</cp:coreProperties>
</file>