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23.09.2026  |  6 Studien  |  healthliteracy.m-vf.de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Schulung zu Gesundheitsinformation stärkt Gesundheitskompetenz in ländlichen Gemeinden</w:t>
      </w:r>
    </w:p>
    <w:p>
      <w:r>
        <w:rPr>
          <w:i/>
          <w:color w:val="666666"/>
          <w:sz w:val="18"/>
        </w:rPr>
        <w:t>Dai R et al.  ·  Ann N Y Acad Sci  ·  Sept. 2026  ·  PMID 42771486</w:t>
      </w:r>
    </w:p>
    <w:p>
      <w:r>
        <w:t>Randomisierte Cluster-Kontrolltrial zu einem theorie-basierten Interventionsprogramm zur Verbesserung der Gesundheitskompetenz bei Erwachsenen in ländlichen Regionen Chinas durch Schulungsmaterialien, WeChat-Messaging, interaktive Vorträge und praktisches Training.</w:t>
      </w:r>
    </w:p>
    <w:p>
      <w:r>
        <w:rPr>
          <w:b/>
        </w:rPr>
        <w:t xml:space="preserve">Ergebnis: </w:t>
      </w:r>
      <w:r>
        <w:t>Das Interventionsprogramm verbesserte signifikant die Verhaltenseinstellung (p&lt;0,001), subjektiven Normen (p&lt;0,001), Verhaltensabsicht (p&lt;0,001), Gesundheitskompetenz-Akquisitionsverhalten (p&lt;0,001) und die allgemeine Gesundheitskompetenz (p&lt;0,001), nicht aber die wahrgenommene Verhaltenskontrolle. Die Effekte zeigten sich konsistent in den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ländliches Versicherungssystem, begrenzte Internetinfrastruktur wie in Teilen Deutschlands</w:t>
      </w:r>
    </w:p>
    <w:p>
      <w:r>
        <w:rPr>
          <w:color w:val="5A7D3A"/>
          <w:sz w:val="18"/>
        </w:rPr>
        <w:t>https://pubmed.ncbi.nlm.nih.gov/42771486/</w:t>
      </w:r>
    </w:p>
    <w:p>
      <w:pPr>
        <w:pStyle w:val="Heading2"/>
      </w:pPr>
      <w:r>
        <w:t>Transparenz in Transplantationsentscheidungen: Patientenbeteiligung an Ausschusssitzungen</w:t>
      </w:r>
    </w:p>
    <w:p>
      <w:r>
        <w:rPr>
          <w:i/>
          <w:color w:val="666666"/>
          <w:sz w:val="18"/>
        </w:rPr>
        <w:t>Graham N et al.  ·  JAMA Netw Open  ·  01.09.2026  ·  PMID 42771341</w:t>
      </w:r>
    </w:p>
    <w:p>
      <w:r>
        <w:t>Qualitative Studie mit 41 Teilnehmern (19 Patienten, 13 Kliniker, 9 Patienten-Kliniker) zu Perspektiven auf Patientenbeteiligung bei Transplantationsausschuss-Meetings mittels semistrukturierter Interviews und thematischer Analyse.</w:t>
      </w:r>
    </w:p>
    <w:p>
      <w:r>
        <w:rPr>
          <w:b/>
        </w:rPr>
        <w:t xml:space="preserve">Ergebnis: </w:t>
      </w:r>
      <w:r>
        <w:t>Vier Themen wurden identifiziert: Machtausgleich und Autonomie, Prozessverständnis als Empowerment, gegenseitige Verwundbarkeit und Umgang mit Unsicherheit. Teilnehmer befürworteten bedingt die Patientenbeteiligung mit strukturierten Rollen, moderierter Teilnahme, Meeting-Zusammenfassungen und standardisierten Kommunikationsrahmen als Voraussetzungen für Vertrauen und Transparenz.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Transplantationssystem und ethische Grundlagen unterscheiden sich; Kernfrage nach Transparenz ist systemübergreifend gültig</w:t>
      </w:r>
    </w:p>
    <w:p>
      <w:r>
        <w:rPr>
          <w:color w:val="5A7D3A"/>
          <w:sz w:val="18"/>
        </w:rPr>
        <w:t>https://pubmed.ncbi.nlm.nih.gov/42771341/</w:t>
      </w:r>
    </w:p>
    <w:p>
      <w:pPr>
        <w:pStyle w:val="Heading2"/>
      </w:pPr>
      <w:r>
        <w:t>Strukturiertes Schulungsprogramm reduziert Angst vor der Geburt nachweislich</w:t>
      </w:r>
    </w:p>
    <w:p>
      <w:r>
        <w:rPr>
          <w:i/>
          <w:color w:val="666666"/>
          <w:sz w:val="18"/>
        </w:rPr>
        <w:t>Al Mamari M et al.  ·  Sultan Qaboos Univ Med J  ·  10.09.2026  ·  PMID 42770113</w:t>
      </w:r>
    </w:p>
    <w:p>
      <w:r>
        <w:t>Quasi-experimentelle Vor-Nach-Studie mit 79 Erstgebärenden in Oman zur Wirkung eines strukturierten pränatalen Schulungsprogramms auf die Geburtsangst, gemessen mit dem Self-Evaluation Questionnaire.</w:t>
      </w:r>
    </w:p>
    <w:p>
      <w:r>
        <w:rPr>
          <w:b/>
        </w:rPr>
        <w:t xml:space="preserve">Ergebnis: </w:t>
      </w:r>
      <w:r>
        <w:t>Die Angst-vor-Geburt-Score sank signifikant von 4,35±0,63 vor der Intervention auf 1,79±0,74 zwei Wochen postpartum (Mittelwertdifferenz 2,56 Punkte; 95%-CI: 2,38–2,74; t=27,8; p&lt;0,001; Cohens d=3,12). Die Effektstärke zeigt klinisch relevante 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Oman - anderes Gesundheitssystem; Befund zur Wirksamkeit von Schulung ist kulturübergreifend übertragbar</w:t>
      </w:r>
    </w:p>
    <w:p>
      <w:r>
        <w:rPr>
          <w:color w:val="5A7D3A"/>
          <w:sz w:val="18"/>
        </w:rPr>
        <w:t>https://pubmed.ncbi.nlm.nih.gov/42770113/</w:t>
      </w:r>
    </w:p>
    <w:p>
      <w:pPr>
        <w:pStyle w:val="Heading2"/>
      </w:pPr>
      <w:r>
        <w:t>Kinderrecht auf echte Mitsprache in Krebsforschung: Beteiligung noch lückenhaft</w:t>
      </w:r>
    </w:p>
    <w:p>
      <w:r>
        <w:rPr>
          <w:i/>
          <w:color w:val="666666"/>
          <w:sz w:val="18"/>
        </w:rPr>
        <w:t>Wieslander KN et al.  ·  Trials  ·  21.09.2026  ·  PMID 42768367</w:t>
      </w:r>
    </w:p>
    <w:p>
      <w:r>
        <w:t>Qualitative Studie mit 11 Kinder mit Krebs, 17 Geschwistern und 9 Eltern in Schweden zur Erfahrung von Assent-Prozessen bei der Teilnahme an pädiatrischer Onkologie-Forschung mittels Interviews und reflexiver thematischer Analyse.</w:t>
      </w:r>
    </w:p>
    <w:p>
      <w:r>
        <w:rPr>
          <w:b/>
        </w:rPr>
        <w:t xml:space="preserve">Ergebnis: </w:t>
      </w:r>
      <w:r>
        <w:t>Zwei Hauptthemen: moralisches und emotionales Engagement für Forschung; relationales Assent durch Vertrauen, Loyalität und elterliche Vermittlung. Kinder zeigten Spektrum von aktiver bis zu minimaler Teilnahme; einige Entscheidungen wurden primär von Eltern getroffen. Familien waren stark motiviert, zur Forschung beizutragen, aber echtes Assent erfordert Kind-zentrierte, flexible und kontextabhängige Prozesse mit ethischem Bewusstsein für Autonomiedynamiken.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- europäischer Ethikstandard und Kinderrechte ähnlich Deutschland; Befunde zu echter Beteiligung universal gültig</w:t>
      </w:r>
    </w:p>
    <w:p>
      <w:r>
        <w:rPr>
          <w:color w:val="5A7D3A"/>
          <w:sz w:val="18"/>
        </w:rPr>
        <w:t>https://pubmed.ncbi.nlm.nih.gov/42768367/</w:t>
      </w:r>
    </w:p>
    <w:p>
      <w:pPr>
        <w:pStyle w:val="Heading2"/>
      </w:pPr>
      <w:r>
        <w:t>eHealth-Kompetenz bei Sportstudierenden: niedrig und mehrdimensional beeinflussbar</w:t>
      </w:r>
    </w:p>
    <w:p>
      <w:r>
        <w:rPr>
          <w:i/>
          <w:color w:val="666666"/>
          <w:sz w:val="18"/>
        </w:rPr>
        <w:t>Yin Y et al.  ·  Front Public Health  ·  03.09.2026  ·  PMID 42756107</w:t>
      </w:r>
    </w:p>
    <w:p>
      <w:r>
        <w:t>Online-Umfrage mit 923 Sportstudierenden aus sechs chinesischen Universitäten zur eHealth-Kompetenz mittels standardisiertem Fragebogen und statistischer Analyse von Einflussfaktoren.</w:t>
      </w:r>
    </w:p>
    <w:p>
      <w:r>
        <w:rPr>
          <w:b/>
        </w:rPr>
        <w:t xml:space="preserve">Ergebnis: </w:t>
      </w:r>
      <w:r>
        <w:t>Durchschnittliche eHealth-Literacy-Score 41,91±6,90; adäquate Rate nur 22,2% (205 Personen). Signifikante Einflussfaktoren: Ethnizität (95%-CI: -3,641–-0,408), Geschlecht (95%-CI: 1,292–3,445), selbstbewerteter Gesundheitszustand (95%-CI: -1,276–-0,100), Nutzung von Smart-Wearables (95%-CI: 0,100–0,794), interpersonale Harmonie (95%-CI: 0,379–1,733), Häufigkeit der Internetsuche nach Gesundheitswissen (95%-CI: 0,246–1,099).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Bildungssystem und digitale Infrastruktur unterscheiden sich; Befunde zu demografischen Faktoren sind universal gültig</w:t>
      </w:r>
    </w:p>
    <w:p>
      <w:r>
        <w:rPr>
          <w:color w:val="5A7D3A"/>
          <w:sz w:val="18"/>
        </w:rPr>
        <w:t>https://pubmed.ncbi.nlm.nih.gov/42756107/</w:t>
      </w:r>
    </w:p>
    <w:p>
      <w:pPr>
        <w:pStyle w:val="Heading2"/>
      </w:pPr>
      <w:r>
        <w:t>Shared Decision Making in der Prostatakrebsfrüherkennung bleibt unterentwickelt</w:t>
      </w:r>
    </w:p>
    <w:p>
      <w:r>
        <w:rPr>
          <w:i/>
          <w:color w:val="666666"/>
          <w:sz w:val="18"/>
        </w:rPr>
        <w:t>Oliveira B et al.  ·  BMC Prim Care  ·  26.06.2026  ·  PMID 42363103</w:t>
      </w:r>
    </w:p>
    <w:p>
      <w:r>
        <w:t>Querschnittsstudie mit 107 Hausärzten in Portugal zur Umsetzung von Shared Decision Making (SDM) bei opportunistischem PSA-Screening: Erfassung von Screening-Kriterien, SDM-Praktiken, Entscheidungshilfen und Überweisungsmuster.</w:t>
      </w:r>
    </w:p>
    <w:p>
      <w:r>
        <w:rPr>
          <w:b/>
        </w:rPr>
        <w:t xml:space="preserve">Ergebnis: </w:t>
      </w:r>
      <w:r>
        <w:t>80,4% der Hausärzte erklärten PSA-Tests, aber nur 64,5% diskutierten konsistent Nutzen/Risiken oder erkundeten Patientenpräferenzen. Nur 6,5% nutzen Entscheidungshilfen; 72% waren damit nicht vertraut. Nationale Richtlinien bestimmten die Praxis (75,7%), insbesondere bei unerfahreneren Ärzten (p=0,027). Bevölkerungsbasiertes Screening-Befürwortung nur 12,2%.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- Gatekeeping-Hausarztsystem ähnlich Deutschland, vergleichbare Versorgungsstruktur</w:t>
      </w:r>
    </w:p>
    <w:p>
      <w:r>
        <w:rPr>
          <w:color w:val="5A7D3A"/>
          <w:sz w:val="18"/>
        </w:rPr>
        <w:t>https://pubmed.ncbi.nlm.nih.gov/42363103/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