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05.09.2026  |  7 Studien  |  healthliteracy.m-vf.de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Entscheidungshilfe für Verbrennungsbehandlung: Entwicklung und Umsetzung einer Shared Decision-Making-Intervention</w:t>
      </w:r>
    </w:p>
    <w:p>
      <w:r>
        <w:rPr>
          <w:i/>
          <w:color w:val="666666"/>
          <w:sz w:val="18"/>
        </w:rPr>
        <w:t>Salemans RFC et al.  ·  J Med Internet Res  ·  04.09.2026  ·  PMID 42696705</w:t>
      </w:r>
    </w:p>
    <w:p>
      <w:r>
        <w:t>Niederländische Studie zur Entwicklung und pilotweisen Einführung einer Entscheidungshilfe (DA) für Patienten mit tiefen Verbrennungen unter Beteiligung von Patienten, Fachleuten und Patienten-Selbsthilfegruppen.</w:t>
      </w:r>
    </w:p>
    <w:p>
      <w:r>
        <w:rPr>
          <w:b/>
        </w:rPr>
        <w:t xml:space="preserve">Ergebnis: </w:t>
      </w:r>
      <w:r>
        <w:t>Die Entscheidungshilfe wurde 42-mal verteilt und von 28 Patienten genutzt (67 % Beteiligungsquote). Patienten und Fachleute berichteten positive Erfahrungen; 91,2 % der Ärzte (31/34) unterstützten die Nutzung. Das Instrument wurde als praktikabel für den Routineeinsatz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Versorgungsauftrag</w:t>
      </w:r>
    </w:p>
    <w:p>
      <w:r>
        <w:rPr>
          <w:color w:val="5A7D3A"/>
          <w:sz w:val="18"/>
        </w:rPr>
        <w:t>https://pubmed.ncbi.nlm.nih.gov/42696705/</w:t>
      </w:r>
    </w:p>
    <w:p>
      <w:pPr>
        <w:pStyle w:val="Heading2"/>
      </w:pPr>
      <w:r>
        <w:t>Schulische Gesundheitskompetenz-Intervention für nepalesische Adoleszenten</w:t>
      </w:r>
    </w:p>
    <w:p>
      <w:r>
        <w:rPr>
          <w:i/>
          <w:color w:val="666666"/>
          <w:sz w:val="18"/>
        </w:rPr>
        <w:t>Khanal SP et al.  ·  Health Lit Res Pract  ·  07.09.2026  ·  PMID 42696373</w:t>
      </w:r>
    </w:p>
    <w:p>
      <w:r>
        <w:t>Systematische Entwicklung eines Schulprogramms mit 13 Sitzungen zur Verbesserung der Health Literacy und gesundheitsfördernden Handlungen bei Neuntklässlern, basierend auf Mixed-Methods-Design und Delphi-Prozess.</w:t>
      </w:r>
    </w:p>
    <w:p>
      <w:r>
        <w:rPr>
          <w:b/>
        </w:rPr>
        <w:t xml:space="preserve">Ergebnis: </w:t>
      </w:r>
      <w:r>
        <w:t>Die Interventionsentwicklung folgte dem Intervention-Mapping-Ansatz; das abschließende Programm umfasst 13 Sitzungen mit neun interdisziplinären Facilitatoren unter Nutzung des SHOWED-Frageworkworks. Die Methode bietet einen replizierbaren Ansatz für Schulen.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Südasien, aber Methodik auf deutsches Schulsystem übertragbar</w:t>
      </w:r>
    </w:p>
    <w:p>
      <w:r>
        <w:rPr>
          <w:color w:val="5A7D3A"/>
          <w:sz w:val="18"/>
        </w:rPr>
        <w:t>https://pubmed.ncbi.nlm.nih.gov/42696373/</w:t>
      </w:r>
    </w:p>
    <w:p>
      <w:pPr>
        <w:pStyle w:val="Heading2"/>
      </w:pPr>
      <w:r>
        <w:t>Shared Decision-Making bei Diabetesmanagement verbessert Stoffwechselkontrolle</w:t>
      </w:r>
    </w:p>
    <w:p>
      <w:r>
        <w:rPr>
          <w:i/>
          <w:color w:val="666666"/>
          <w:sz w:val="18"/>
        </w:rPr>
        <w:t>Feng T et al.  ·  Front Public Health  ·  19.08.2026  ·  PMID 42688211</w:t>
      </w:r>
    </w:p>
    <w:p>
      <w:r>
        <w:t>Retrospektive Kohortenstudie zur Wirkung eines individualisierten Bewegungsprogramms mit Shared Decision-Making auf Blutzuckerkontrolle, Selbstmanagement und Lebensqualität bei Typ-2-Diabetes.</w:t>
      </w:r>
    </w:p>
    <w:p>
      <w:r>
        <w:rPr>
          <w:b/>
        </w:rPr>
        <w:t xml:space="preserve">Ergebnis: </w:t>
      </w:r>
      <w:r>
        <w:t>Nach Propensity-Score-Matching (n=178) zeigte die SDM-Interventionsgruppe nach 2 Monaten signifikant bessere HbA1c-Reduktion, höheres Time-in-Range (67,72 % vs. 61,65 %, p=0,004), bessere Adhaerenz und höhere SDSCA-Selbstmanagement-Scores sowie niedrigere Diabetes-Specific-Quality-of-Life-Scores.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Outcome-Messung und SDM-Methodik systemübergreifend relevant</w:t>
      </w:r>
    </w:p>
    <w:p>
      <w:r>
        <w:rPr>
          <w:color w:val="5A7D3A"/>
          <w:sz w:val="18"/>
        </w:rPr>
        <w:t>https://pubmed.ncbi.nlm.nih.gov/42688211/</w:t>
      </w:r>
    </w:p>
    <w:p>
      <w:pPr>
        <w:pStyle w:val="Heading2"/>
      </w:pPr>
      <w:r>
        <w:t>Patient-generierte Gesundheitsdaten in Shared Decision-Making: Scoping Review</w:t>
      </w:r>
    </w:p>
    <w:p>
      <w:r>
        <w:rPr>
          <w:i/>
          <w:color w:val="666666"/>
          <w:sz w:val="18"/>
        </w:rPr>
        <w:t>V S Pakianathan P et al.  ·  JMIR Mhealth Uhealth  ·  10.08.2026  ·  PMID 42574670</w:t>
      </w:r>
    </w:p>
    <w:p>
      <w:r>
        <w:t>Systematische Übersichtsarbeit zu Barrieren und Ermöglichern bei der Integration patientengenerierter Daten (PGHD) in Shared Decision-Making aus Sicht von Fachleuten und Patienten.</w:t>
      </w:r>
    </w:p>
    <w:p>
      <w:r>
        <w:rPr>
          <w:b/>
        </w:rPr>
        <w:t xml:space="preserve">Ergebnis: </w:t>
      </w:r>
      <w:r>
        <w:t>53 Publikationen zeigten sechs übergeordnete Themenbereiche als Barrieren/Ermöglicher: Patienten-Fachpersonen-Beziehung, Patientenmerkmale, Organisationsfaktoren, medizinische Ethik/Recht, datengesteuerte Workflows und Design/Technologie. Ein erwitertes 10-Stufen-Workflow-Modell wurde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deutschsprachig, vergleichbare Versorgungsstrukturen</w:t>
      </w:r>
    </w:p>
    <w:p>
      <w:r>
        <w:rPr>
          <w:color w:val="5A7D3A"/>
          <w:sz w:val="18"/>
        </w:rPr>
        <w:t>https://pubmed.ncbi.nlm.nih.gov/42574670/</w:t>
      </w:r>
    </w:p>
    <w:p>
      <w:pPr>
        <w:pStyle w:val="Heading2"/>
      </w:pPr>
      <w:r>
        <w:t>COVID-19-Gesundheitskompetenz-Interventionen für Fachleute: Systematische Übersicht</w:t>
      </w:r>
    </w:p>
    <w:p>
      <w:r>
        <w:rPr>
          <w:i/>
          <w:color w:val="666666"/>
          <w:sz w:val="18"/>
        </w:rPr>
        <w:t>Hasenpusch C et al.  ·  JMIR Med Educ  ·  10.07.2026  ·  PMID 42430764</w:t>
      </w:r>
    </w:p>
    <w:p>
      <w:r>
        <w:t>Systematische Übersichtsarbeit zu Wirksamkeit von Health-Literacy-Interventionen bei Gesundheitsberuflern (Ärzte, Pflegepersonen, andere) während COVID-19.</w:t>
      </w:r>
    </w:p>
    <w:p>
      <w:r>
        <w:rPr>
          <w:b/>
        </w:rPr>
        <w:t xml:space="preserve">Ergebnis: </w:t>
      </w:r>
      <w:r>
        <w:t>15 RCTs (2034 Teilnehmende), 4 Quasi-Experimente (291), 74 unkontrollierte Studien (327.298) eingeschlossen. COVID-Interventionen erhöhten Impfwissen (SMD 1,00; 95%-KI 0,33–1,67) und Infektionsschutzkompetenzen wie Schutzausrüstung (SMD 1,95; 95%-KI 1,82–3,09), aber Evidenzsicherheit gering. Qualitätsmängel und Bias überwiegen.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Europa, Fachleute-Qualifizierung übertragbar</w:t>
      </w:r>
    </w:p>
    <w:p>
      <w:r>
        <w:rPr>
          <w:color w:val="5A7D3A"/>
          <w:sz w:val="18"/>
        </w:rPr>
        <w:t>https://pubmed.ncbi.nlm.nih.gov/42430764/</w:t>
      </w:r>
    </w:p>
    <w:p>
      <w:pPr>
        <w:pStyle w:val="Heading2"/>
      </w:pPr>
      <w:r>
        <w:t>Partizipationsforschung: Stand der Institutionalisierung in Wissenschaftssystem</w:t>
      </w:r>
    </w:p>
    <w:p>
      <w:r>
        <w:rPr>
          <w:i/>
          <w:color w:val="666666"/>
          <w:sz w:val="18"/>
        </w:rPr>
        <w:t>Schäfers M et al.  ·  Bundesgesundheitsblatt Gesundheitsforschung Gesundheitsschutz  ·  07.07.2026  ·  PMID 42412179</w:t>
      </w:r>
    </w:p>
    <w:p>
      <w:r>
        <w:t>Soziologische Analyse zum Institutionalisierungsprozess von Partizipationsforschung als Forschungsfeld zur gesellschaftlichen Teilhabe von Menschen mit Behinderungen in Deutschland.</w:t>
      </w:r>
    </w:p>
    <w:p>
      <w:r>
        <w:rPr>
          <w:b/>
        </w:rPr>
        <w:t xml:space="preserve">Ergebnis: </w:t>
      </w:r>
      <w:r>
        <w:t>Ambivalentes Bild: Netzwerkbildung und transdisziplinäre epistemische Kultur zeigen deutliche Institutionalisierungsfortschritte, hohe politische Relevanz. Strukturelle Verankerung im Wissenschaftssystem bislang gering. Partizipationsforschung hat hohen Stellenwert bei Inklusion und Teilhabe.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Bundesgesundheitsblatt, deutsches Behindertenrecht und Partizipationsprinzipien</w:t>
      </w:r>
    </w:p>
    <w:p>
      <w:r>
        <w:rPr>
          <w:color w:val="5A7D3A"/>
          <w:sz w:val="18"/>
        </w:rPr>
        <w:t>https://pubmed.ncbi.nlm.nih.gov/42412179/</w:t>
      </w:r>
    </w:p>
    <w:p>
      <w:pPr>
        <w:pStyle w:val="Heading2"/>
      </w:pPr>
      <w:r>
        <w:t>Transparente Honorierung von Patienten als Autorinnen und Autoren</w:t>
      </w:r>
    </w:p>
    <w:p>
      <w:r>
        <w:rPr>
          <w:i/>
          <w:color w:val="666666"/>
          <w:sz w:val="18"/>
        </w:rPr>
        <w:t>Bharadia T et al.  ·  Curr Med Res Opin  ·  24.06.2026  ·  PMID 42343642</w:t>
      </w:r>
    </w:p>
    <w:p>
      <w:r>
        <w:t>Leitpapier zur Überwindung von Barrieren für die faire Bezahlung von Patienten als Mitautorinnen und Mitautoren in pharmazeutischen Publikationen.</w:t>
      </w:r>
    </w:p>
    <w:p>
      <w:r>
        <w:rPr>
          <w:b/>
        </w:rPr>
        <w:t xml:space="preserve">Ergebnis: </w:t>
      </w:r>
      <w:r>
        <w:t>Sechs Barrieren werden beschrieben (Wertschätzung, Compliance-Risiken, operative Herausforderungen, Equity-Bedenken, externe Wahrnehmung, Anerkennungsalternativen) mit praktischen Lösungen und Fallbeispiel einer Pharmafirma, die Patienten-Autorenhonorar implementiert.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Standards, auf deutsches Gesundheitssystem anwendbar</w:t>
      </w:r>
    </w:p>
    <w:p>
      <w:r>
        <w:rPr>
          <w:color w:val="5A7D3A"/>
          <w:sz w:val="18"/>
        </w:rPr>
        <w:t>https://pubmed.ncbi.nlm.nih.gov/42343642/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