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Neueste Studien - Gesundheitskompetenz</w:t>
      </w:r>
    </w:p>
    <w:p>
      <w:r>
        <w:rPr>
          <w:i/>
          <w:color w:val="666666"/>
          <w:sz w:val="18"/>
        </w:rPr>
        <w:t>Stand: 10.10.2026  |  6 Studien  |  healthliteracy.m-vf.de</w:t>
      </w:r>
    </w:p>
    <w:p>
      <w:pPr>
        <w:pStyle w:val="Heading1"/>
      </w:pPr>
      <w:r>
        <w:t>Aufgenommen am 10.10.2026</w:t>
      </w:r>
    </w:p>
    <w:p>
      <w:pPr>
        <w:pStyle w:val="Heading2"/>
      </w:pPr>
      <w:r>
        <w:t>WeChat-Beiträge zu Brusterkrankungen: Verständlichkeit und Entscheidungsunterstützung mangelhaft</w:t>
      </w:r>
    </w:p>
    <w:p>
      <w:r>
        <w:rPr>
          <w:i/>
          <w:color w:val="666666"/>
          <w:sz w:val="18"/>
        </w:rPr>
        <w:t>Li J et al.  ·  JMIR Med Inform  ·  09.10.2026  ·  PMID 42854188</w:t>
      </w:r>
    </w:p>
    <w:p>
      <w:r>
        <w:t>Chinesische Querschnittsanalyse von 464 Artikeln zu gutartigen Brusterkrankungen auf 158 Krankenhaus-WeChat-Kanälen, bewertet auf Zugänglichkeit (Lesbarkeit, Bilder) und Shared Decision Making-Reife nach validierten Instrumenten (PEMAT-P, DISCERN, QUEST).</w:t>
      </w:r>
    </w:p>
    <w:p>
      <w:r>
        <w:rPr>
          <w:b/>
        </w:rPr>
        <w:t xml:space="preserve">Ergebnis: </w:t>
      </w:r>
      <w:r>
        <w:t>Gute Zugänglichkeit: 72,4% auf Niveau Mittlere Reife geschrieben; aber begrenzte Handlungsfähigkeit (PEMAT-P Actionability-Score 50% ± 23,2%, Mittelwert). Schwache Entscheidungsunterstützung: QUEST-Score 14,9 ± 4,7 von 28; 84,3% der Artikel unterschritten Qualitätsschwelle. Behandlungs-Artikel schnitten schlechter ab als Prävention (p &lt; 0,001); 82% fehlten Angaben zu Behandlungsrisiken und Lebensqualitätseffekten.</w:t>
      </w:r>
    </w:p>
    <w:p>
      <w:r>
        <w:rPr>
          <w:b/>
          <w:sz w:val="19"/>
        </w:rPr>
        <w:t xml:space="preserve">Übertragbarkeit: </w:t>
      </w:r>
      <w:r>
        <w:rPr>
          <w:sz w:val="19"/>
        </w:rPr>
        <w:t>China, andere Plattform und Dokumententyp; Befund zur Qualitätslücke bei Online-Patienteninformation übertragbar.</w:t>
      </w:r>
    </w:p>
    <w:p>
      <w:r>
        <w:rPr>
          <w:color w:val="5A7D3A"/>
          <w:sz w:val="18"/>
        </w:rPr>
        <w:t>https://pubmed.ncbi.nlm.nih.gov/42854188/</w:t>
      </w:r>
    </w:p>
    <w:p>
      <w:pPr>
        <w:pStyle w:val="Heading2"/>
      </w:pPr>
      <w:r>
        <w:t>Patienteneinbeziehung in der Psychose-Behandlung: DIALOG+ strukturiert Gesprächsziele und geteilte Entscheidungen</w:t>
      </w:r>
    </w:p>
    <w:p>
      <w:r>
        <w:rPr>
          <w:i/>
          <w:color w:val="666666"/>
          <w:sz w:val="18"/>
        </w:rPr>
        <w:t>Lundmark M et al.  ·  BMC Psychiatry  ·  17.09.2026  ·  PMID 42850597</w:t>
      </w:r>
    </w:p>
    <w:p>
      <w:r>
        <w:t>Qualitative Studie mit 14 Fachkräften in schwedischen Psychose-Ambulanzen, die Erfahrungen mit DIALOG+ (strukturiertes digitales Werkzeug für Patient*innenbeteiligung) in Fokusgruppen beschrieben.</w:t>
      </w:r>
    </w:p>
    <w:p>
      <w:r>
        <w:rPr>
          <w:b/>
        </w:rPr>
        <w:t xml:space="preserve">Ergebnis: </w:t>
      </w:r>
      <w:r>
        <w:t>DIALOG+ ermöglichte es Patient*innen, ihre Bedürfnisse deutlicher zu äußern und eine aktivere Rolle im Gespräch zu übernehmen. Die strukturierte Methode verteilte Verantwortung für Entscheidungen und Nachbetreuung zwischen Patient*innen und Fachkräften. Herausforderung: Spannung zwischen Patient*innen-geleiteter Agenda und professioneller Verantwortung erfordert Unterstützung der Fachkräfte in neuen Rollen.</w:t>
      </w:r>
    </w:p>
    <w:p>
      <w:r>
        <w:rPr>
          <w:b/>
          <w:sz w:val="19"/>
        </w:rPr>
        <w:t xml:space="preserve">Übertragbarkeit: </w:t>
      </w:r>
      <w:r>
        <w:rPr>
          <w:sz w:val="19"/>
        </w:rPr>
        <w:t>Schweden, Shared Decision Making in Regelversorgung; systemische Übertragbarkeit auf deutsches Gatekeeping-freies Versorgungsmodell begrenzt.</w:t>
      </w:r>
    </w:p>
    <w:p>
      <w:r>
        <w:rPr>
          <w:color w:val="5A7D3A"/>
          <w:sz w:val="18"/>
        </w:rPr>
        <w:t>https://pubmed.ncbi.nlm.nih.gov/42850597/</w:t>
      </w:r>
    </w:p>
    <w:p>
      <w:pPr>
        <w:pStyle w:val="Heading2"/>
      </w:pPr>
      <w:r>
        <w:t>Gesundheitsrahmen in Umweltbotschaften: Was fördert Verhalten, was nur Intention?</w:t>
      </w:r>
    </w:p>
    <w:p>
      <w:r>
        <w:rPr>
          <w:i/>
          <w:color w:val="666666"/>
          <w:sz w:val="18"/>
        </w:rPr>
        <w:t>Chan FHF et al.  ·  Ann Behav Med  ·  07.01.2026  ·  PMID 42847353</w:t>
      </w:r>
    </w:p>
    <w:p>
      <w:r>
        <w:t>Systematische Übersichtsarbeit mit qualitativer Synthesemethode von 46 Studien (54 Substudien) zum Effekt von Gesundheitsframing in Umwelt-Kommunikationsmaßnahmen, überwiegend RCTs in reichen, englischsprachigen Ländern (n &gt; 180.000 Personen).</w:t>
      </w:r>
    </w:p>
    <w:p>
      <w:r>
        <w:rPr>
          <w:b/>
        </w:rPr>
        <w:t xml:space="preserve">Ergebnis: </w:t>
      </w:r>
      <w:r>
        <w:t>Gesundheits-gerahmte Umweltbotschaften werden als verständlich und hilfreich wahrgenommen, insbesondere mit Gewinn-Framing und Präventions-Fokus. Sie erhöhen Bedrohungswahrnehmung, Policy-Unterstützung und gesundheitsschutzende Intentionen wirksam (p &lt; 0,05 in Mehrheit der Studien). Aber: Wirkung auf nachhaltige Verhaltensänderung und Advocacy-Verhalten inkonsistent; Handeln bleibt deutlich hinter Intention zurück.</w:t>
      </w:r>
    </w:p>
    <w:p>
      <w:r>
        <w:rPr>
          <w:b/>
          <w:sz w:val="19"/>
        </w:rPr>
        <w:t xml:space="preserve">Übertragbarkeit: </w:t>
      </w:r>
      <w:r>
        <w:rPr>
          <w:sz w:val="19"/>
        </w:rPr>
        <w:t>Überwiegend anglophone Länder, aber Fragestellung kultur- und systemunabhängig; Befund zur Intentions-Verhaltens-Lücke grundlegend.</w:t>
      </w:r>
    </w:p>
    <w:p>
      <w:r>
        <w:rPr>
          <w:color w:val="5A7D3A"/>
          <w:sz w:val="18"/>
        </w:rPr>
        <w:t>https://pubmed.ncbi.nlm.nih.gov/42847353/</w:t>
      </w:r>
    </w:p>
    <w:p>
      <w:pPr>
        <w:pStyle w:val="Heading2"/>
      </w:pPr>
      <w:r>
        <w:t>Surgical Sidekick: Schulung zur Gesundheitskompetenz bei Kopf-Hals-Krebs verbessert Verständnis und Selbstermächtigung</w:t>
      </w:r>
    </w:p>
    <w:p>
      <w:r>
        <w:rPr>
          <w:i/>
          <w:color w:val="666666"/>
          <w:sz w:val="18"/>
        </w:rPr>
        <w:t>Merkovsky S et al.  ·  Clin J Oncol Nurs  ·  30.09.2026  ·  PMID 42832320</w:t>
      </w:r>
    </w:p>
    <w:p>
      <w:r>
        <w:t>Qualitätsmessungs-Pilot einer Ressource zur Verbesserung von Gesundheitskompetenz und Patient*innen-Ermächtigung bei Kopf-Hals-Krebs-Operation; Pflegekräfte führten das Werkzeug bei Diagnosebestätigung ein (Maßnahme beschrieben, Wirkungsmessung im Abstract nicht vollständig benannt).</w:t>
      </w:r>
    </w:p>
    <w:p>
      <w:r>
        <w:rPr>
          <w:b/>
        </w:rPr>
        <w:t xml:space="preserve">Ergebnis: </w:t>
      </w:r>
      <w:r>
        <w:t>Projekt läuft seit Februar 2025; knapp 100 Drainagen wurden bisher erfolgreich zu Hause entfernt ohne berichtete Komplikationen (kein Vergleich mit Kontrolle, Fallzahl begrenzt). Aussage nur zu Machbarkeit und Sicherheit, nicht zu Gesundheitskompetenz-Effekt oder Verhaltensänderung mess bar benannt.</w:t>
      </w:r>
    </w:p>
    <w:p>
      <w:r>
        <w:rPr>
          <w:b/>
          <w:sz w:val="19"/>
        </w:rPr>
        <w:t xml:space="preserve">Übertragbarkeit: </w:t>
      </w:r>
      <w:r>
        <w:rPr>
          <w:sz w:val="19"/>
        </w:rPr>
        <w:t>USA - einzelnes Krankenhaus; explorativer Bericht ohne robustes Wirkungsdesign, daher limitierte Aussagekraft.</w:t>
      </w:r>
    </w:p>
    <w:p>
      <w:r>
        <w:rPr>
          <w:color w:val="5A7D3A"/>
          <w:sz w:val="18"/>
        </w:rPr>
        <w:t>https://pubmed.ncbi.nlm.nih.gov/42832320/</w:t>
      </w:r>
    </w:p>
    <w:p>
      <w:pPr>
        <w:pStyle w:val="Heading2"/>
      </w:pPr>
      <w:r>
        <w:t>Künstliche Sprachmodelle bei Herpes zoster: Sicherheit und Lesbarkeit für Patient*innen kritisch</w:t>
      </w:r>
    </w:p>
    <w:p>
      <w:r>
        <w:rPr>
          <w:i/>
          <w:color w:val="666666"/>
          <w:sz w:val="18"/>
        </w:rPr>
        <w:t>Liang D et al.  ·  Front Public Health  ·  16.09.2026  ·  PMID 42819370</w:t>
      </w:r>
    </w:p>
    <w:p>
      <w:r>
        <w:t>Standardisierte Bewertung von fünf großen Sprachmodellen (ChatGPT, DeepSeek, Doubao, Gemini, Qwen) zu 46 Fragen über Herpes zoster auf Sicherheit, Genauigkeit, Einfühlsamkeit, Quellenangabe und Lesbarkeit durch drei Dermatologen (Kappa für Sicherheit 0,682).</w:t>
      </w:r>
    </w:p>
    <w:p>
      <w:r>
        <w:rPr>
          <w:b/>
        </w:rPr>
        <w:t xml:space="preserve">Ergebnis: </w:t>
      </w:r>
      <w:r>
        <w:t>Von 230 Antworten: 66 (28,7%) als potenziell unsicher bewertet (kein signifikanter Unterschied zwischen Modellen, Cochran Q p = 0,798). Genauigkeit und Einfühlsamkeit unterschieden sich zwischen Modellen (p &lt; 0,001), Effektgröße aber klein. Alle sechs Lesbarkeitsindizes unterschieden sich (p &lt; 0,001); DeepSeek deutlich leichter lesbar als Gemini. Quellenangabe und Offenlegung durchgängig dünn.</w:t>
      </w:r>
    </w:p>
    <w:p>
      <w:r>
        <w:rPr>
          <w:b/>
          <w:sz w:val="19"/>
        </w:rPr>
        <w:t xml:space="preserve">Übertragbarkeit: </w:t>
      </w:r>
      <w:r>
        <w:rPr>
          <w:sz w:val="19"/>
        </w:rPr>
        <w:t>China - Test mit internationalen Modellen; Sicherheitsbefund zu LLM-Grenzen sprachunabhängig.</w:t>
      </w:r>
    </w:p>
    <w:p>
      <w:r>
        <w:rPr>
          <w:color w:val="5A7D3A"/>
          <w:sz w:val="18"/>
        </w:rPr>
        <w:t>https://pubmed.ncbi.nlm.nih.gov/42819370/</w:t>
      </w:r>
    </w:p>
    <w:p>
      <w:pPr>
        <w:pStyle w:val="Heading2"/>
      </w:pPr>
      <w:r>
        <w:t>Teilhabe im alltäglichen Leben und psychische Genesung: wenig Zusammenhang in FACT-Diensten gefunden</w:t>
      </w:r>
    </w:p>
    <w:p>
      <w:r>
        <w:rPr>
          <w:i/>
          <w:color w:val="666666"/>
          <w:sz w:val="18"/>
        </w:rPr>
        <w:t>Borgh M et al.  ·  Nord J Psychiatry  ·  07.09.2026  ·  PMID 42706860</w:t>
      </w:r>
    </w:p>
    <w:p>
      <w:r>
        <w:t>Beobachtungsstudie mit Sekundärdaten von 83 Personen mit komplexen psychischen Erkrankungen in schwedischen Flexible Assertive Community Treatment-Diensten; Assoziationen zwischen Teilhabe-Domänen (Arbeit, Wohnsituation, Partnerschaft, Freundschaften) und persönlicher Genesung bzw. Lebensqualität nach 12 Monaten mittels multipler linearer Regression geprüft.</w:t>
      </w:r>
    </w:p>
    <w:p>
      <w:r>
        <w:rPr>
          <w:b/>
        </w:rPr>
        <w:t xml:space="preserve">Ergebnis: </w:t>
      </w:r>
      <w:r>
        <w:t>Personen, die allein lebten, zeigten höhere Lebensqualitäts-Scores als die mit Partner oder Familie (signifikant). Keine anderen signifikanten Assoziationen gefunden. Autoren interpretieren: FACT-Modell könnte persönliche Genesung über breites Spektrum von Teilhabe-Unterschieden unterstützen; aber Ergebnis unter methodischen Einschränkungen zu interpretieren (kleine Stichprobe, begrenzte Varianz).</w:t>
      </w:r>
    </w:p>
    <w:p>
      <w:r>
        <w:rPr>
          <w:b/>
          <w:sz w:val="19"/>
        </w:rPr>
        <w:t xml:space="preserve">Übertragbarkeit: </w:t>
      </w:r>
      <w:r>
        <w:rPr>
          <w:sz w:val="19"/>
        </w:rPr>
        <w:t>Schweden, mentale Gesundheit in Gemeindesetting; Übertragbarkeit auf Deutschland begrenzt durch Systemunterschiede.</w:t>
      </w:r>
    </w:p>
    <w:p>
      <w:r>
        <w:rPr>
          <w:color w:val="5A7D3A"/>
          <w:sz w:val="18"/>
        </w:rPr>
        <w:t>https://pubmed.ncbi.nlm.nih.gov/42706860/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Neueste Studien - Gesundheitskompetenz</dc:title>
  <dc:subject/>
  <dc:creator>Monitor Versorgungsforschung</dc:creator>
  <cp:keywords/>
  <dc:description>generated by python-docx</dc:description>
  <cp:lastModifiedBy/>
  <cp:revision>1</cp:revision>
  <dcterms:created xsi:type="dcterms:W3CDTF">2026-10-10T06:00:00Z</dcterms:created>
  <dcterms:modified xsi:type="dcterms:W3CDTF">2026-10-10T06:00:00Z</dcterms:modified>
  <cp:category/>
</cp:coreProperties>
</file>