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26.10.2026  |  6 Studien  |  healthliteracy.m-vf.de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Gesundheitskompetenz in der Menopause: Lücken zwischen Individuum, Versorgung und Gesellschaft</w:t>
      </w:r>
    </w:p>
    <w:p>
      <w:r>
        <w:rPr>
          <w:i/>
          <w:color w:val="666666"/>
          <w:sz w:val="18"/>
        </w:rPr>
        <w:t>Pourshahrokhi N et al.  ·  Health Expect  ·  Okt. 2026  ·  PMID 42925072</w:t>
      </w:r>
    </w:p>
    <w:p>
      <w:r>
        <w:t>Qualitative Interviewstudie mit 22 Frauen und 10 Fachpersonen in Südiran zur Identifikation von Informationsbedarf, Barrieren und Facilitatoren der Menopausenkompetenz.</w:t>
      </w:r>
    </w:p>
    <w:p>
      <w:r>
        <w:rPr>
          <w:b/>
        </w:rPr>
        <w:t xml:space="preserve">Ergebnis: </w:t>
      </w:r>
      <w:r>
        <w:t>Menopause wird von Frauen als unerwarteter, multidimensionaler Übergang erlebt. Zentrale Lücken: Mangel an Aufklärung, Stigma, unzureichendes Engagement von Fachpersonen, Schwierigkeit beim Auffinden verlässlicher Quellen. Facilitatoren: symptomorientierte Strategien, Lifestyle-Änderung, Familie und Peer-Support.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kulturelle Kontexte und Stigma beeinflussen; Empfehlungen (evidenzbasierte Bildung, barrierefreie Ressourcen) teilweise auf Deutschland übertragbar</w:t>
      </w:r>
    </w:p>
    <w:p>
      <w:r>
        <w:rPr>
          <w:color w:val="5A7D3A"/>
          <w:sz w:val="18"/>
        </w:rPr>
        <w:t>https://pubmed.ncbi.nlm.nih.gov/42925072/</w:t>
      </w:r>
    </w:p>
    <w:p>
      <w:pPr>
        <w:pStyle w:val="Heading2"/>
      </w:pPr>
      <w:r>
        <w:t>Patientenbeteiligung bei Post-Discharge-Kommunikation: Co-Design mit älteren Menschen</w:t>
      </w:r>
    </w:p>
    <w:p>
      <w:r>
        <w:rPr>
          <w:i/>
          <w:color w:val="666666"/>
          <w:sz w:val="18"/>
        </w:rPr>
        <w:t>Spencer RA et al.  ·  Health Expect  ·  Okt. 2026  ·  PMID 42925008</w:t>
      </w:r>
    </w:p>
    <w:p>
      <w:r>
        <w:t>Workshop mit 21 Teilnehmern (10 Patienten/Angehörige, 11 klinische Führungskräfte) nutzte Nominal Group Technique zur Erarbeitung von Empfehlungen für ein patientenzentriertes Entlassungsmanagement im NHS.</w:t>
      </w:r>
    </w:p>
    <w:p>
      <w:r>
        <w:rPr>
          <w:b/>
        </w:rPr>
        <w:t xml:space="preserve">Ergebnis: </w:t>
      </w:r>
      <w:r>
        <w:t>52 Aussagen generiert, 35 als akzeptabel und machbar bewertet. Höchste Priorität: Patientenautonomie, Transparenz, Einbeziehung ambulanter Fachkräfte. Vollständige Digitalisierung wurde als unangemessen erachtet. Das Verfahren (RAND/UCLA-Voting) bewährte sich für Mixed-PPI-Beteiligung.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NHS-Struktur; Gatekeeping-Modell nicht direkt auf deutsches freies Arztwahlsystem übertragbar</w:t>
      </w:r>
    </w:p>
    <w:p>
      <w:r>
        <w:rPr>
          <w:color w:val="5A7D3A"/>
          <w:sz w:val="18"/>
        </w:rPr>
        <w:t>https://pubmed.ncbi.nlm.nih.gov/42925008/</w:t>
      </w:r>
    </w:p>
    <w:p>
      <w:pPr>
        <w:pStyle w:val="Heading2"/>
      </w:pPr>
      <w:r>
        <w:t>Shared Decision Making mit Apothekern in der Primärversorgung: Patientenerfahrungen und Einflussfaktoren</w:t>
      </w:r>
    </w:p>
    <w:p>
      <w:r>
        <w:rPr>
          <w:i/>
          <w:color w:val="666666"/>
          <w:sz w:val="18"/>
        </w:rPr>
        <w:t>Loewen PS et al.  ·  Fam Pract  ·  06.10.2026  ·  PMID 42924607</w:t>
      </w:r>
    </w:p>
    <w:p>
      <w:r>
        <w:t>Querschnittsumfrage bei 604 Patienten der Pharmacists in Primary Care Network (PCN) in Kanada zu ihren Erfahrungen mit Shared Decision Making (SDM) mittels SDM-Q-9-Fragebogen.</w:t>
      </w:r>
    </w:p>
    <w:p>
      <w:r>
        <w:rPr>
          <w:b/>
        </w:rPr>
        <w:t xml:space="preserve">Ergebnis: </w:t>
      </w:r>
      <w:r>
        <w:t>Medianer SDM-Q-9-Score 77,8 (IQR 62,2–91,1), deutend auf moderately strong agreement mit SDM-Prozess. Demografische und klinische Faktoren erklärten 5% der Varianz, psychologische Faktoren (Erwartungen, Medikamentverständnis, Engagement-Motivation, Gesamterlebnis) erklärten 39% der Varianz. SDM-Erfahrung wurde von Patienten &lt;65 Jahren und bei Präsenzterminen höher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Gesundheitssystem; Apotheken-Rollen unterscheiden sich in Deutschland</w:t>
      </w:r>
    </w:p>
    <w:p>
      <w:r>
        <w:rPr>
          <w:color w:val="5A7D3A"/>
          <w:sz w:val="18"/>
        </w:rPr>
        <w:t>https://pubmed.ncbi.nlm.nih.gov/42924607/</w:t>
      </w:r>
    </w:p>
    <w:p>
      <w:pPr>
        <w:pStyle w:val="Heading2"/>
      </w:pPr>
      <w:r>
        <w:t>Patientenengagement in genetischer Onkologie-Beratung: Analyse von Gesprächsstrategien</w:t>
      </w:r>
    </w:p>
    <w:p>
      <w:r>
        <w:rPr>
          <w:i/>
          <w:color w:val="666666"/>
          <w:sz w:val="18"/>
        </w:rPr>
        <w:t>Lim T et al.  ·  J Genet Couns  ·  Okt. 2026  ·  PMID 42924565</w:t>
      </w:r>
    </w:p>
    <w:p>
      <w:r>
        <w:t>Conversation-Analyse von Videoaufnahmen genetischer Beratungsgespräche (Singapur) zur Identifikation von Kommunikationsstrategien, die Verständnis und psychosoziale Unterstützung fördern.</w:t>
      </w:r>
    </w:p>
    <w:p>
      <w:r>
        <w:rPr>
          <w:b/>
        </w:rPr>
        <w:t xml:space="preserve">Ergebnis: </w:t>
      </w:r>
      <w:r>
        <w:t>Offene Eröffnungsfragen führten zu reichhaltigeren, patientengesteuerten Narrativen; geschlossene Fragen beschränkten Antworten. Explizite Einladung zur Mitteilung von Sorgen oder reaktives Eingehen auf Offenbarungen persönlicher Umstände stärkten emotionale Unterstützung. Mikroanalyse zeigt Integration von Informationsvermittlung mit psychosozialer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Singapur; Gesprächstechniken zum Thema Verständnis und Beteiligung sind prinzipiell übertragbar</w:t>
      </w:r>
    </w:p>
    <w:p>
      <w:r>
        <w:rPr>
          <w:color w:val="5A7D3A"/>
          <w:sz w:val="18"/>
        </w:rPr>
        <w:t>https://pubmed.ncbi.nlm.nih.gov/42924565/</w:t>
      </w:r>
    </w:p>
    <w:p>
      <w:pPr>
        <w:pStyle w:val="Heading2"/>
      </w:pPr>
      <w:r>
        <w:t>Gesundheitskommunikation für Lebensstiländerung bei älteren Hypertoniker: Scoping-Review-Protokoll</w:t>
      </w:r>
    </w:p>
    <w:p>
      <w:r>
        <w:rPr>
          <w:i/>
          <w:color w:val="666666"/>
          <w:sz w:val="18"/>
        </w:rPr>
        <w:t>Ferreira R et al.  ·  J Eval Clin Pract  ·  Okt. 2026  ·  PMID 42912184</w:t>
      </w:r>
    </w:p>
    <w:p>
      <w:r>
        <w:t>Protokoll für systematische Scoping Review zu Gesundheitskommunikationsstrategien für Lebensstiländerungen bei Erwachsenen ≥65 Jahren mit Hypertonie.</w:t>
      </w:r>
    </w:p>
    <w:p>
      <w:r>
        <w:rPr>
          <w:b/>
        </w:rPr>
        <w:t xml:space="preserve">Ergebnis: </w:t>
      </w:r>
      <w:r>
        <w:t>Studie ist methodisches Protokoll ohne Ergebnisse. Geplante Analyse von Kommunikationsstrategien (allein oder kombiniert mit Pharmakotherapie) zur Förderung von Lebensstiländerungen, mit Erfassung von Barrieren und Facilitatoren.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Protokoll ohne Ergebnisse; Ausschluss</w:t>
      </w:r>
    </w:p>
    <w:p>
      <w:r>
        <w:rPr>
          <w:color w:val="5A7D3A"/>
          <w:sz w:val="18"/>
        </w:rPr>
        <w:t>https://pubmed.ncbi.nlm.nih.gov/42912184/</w:t>
      </w:r>
    </w:p>
    <w:p>
      <w:pPr>
        <w:pStyle w:val="Heading2"/>
      </w:pPr>
      <w:r>
        <w:t>Ermöglichen YouTube-Videos informierte Entscheidungen zur Kniearthrose? Analyse deutschsprachiger Videos</w:t>
      </w:r>
    </w:p>
    <w:p>
      <w:r>
        <w:rPr>
          <w:i/>
          <w:color w:val="666666"/>
          <w:sz w:val="18"/>
        </w:rPr>
        <w:t>Zacher S et al.  ·  Z Evid Fortbild Qual Gesundhwes  ·  13.08.2026  ·  PMID 42586805</w:t>
      </w:r>
    </w:p>
    <w:p>
      <w:r>
        <w:t>Systematische Analyse von 79 deutschsprachigen YouTube-Videos zur Kniearthrose-Behandlung mittels MAPPinfo-Checkliste zur Bewertung der Qualität von Gesundheitsinformation.</w:t>
      </w:r>
    </w:p>
    <w:p>
      <w:r>
        <w:rPr>
          <w:b/>
        </w:rPr>
        <w:t xml:space="preserve">Ergebnis: </w:t>
      </w:r>
      <w:r>
        <w:t>79 Videos (50 Gesundheitsinformationsmaterialien analysiert). Mittlere Informationsqualität 15,4% (Spanne 5–25, SD 4,5); kein Material erfüllte alle Kriterien. Zertifizierte YouTube-Health-Videos zeigten keine bessere Qualität (15,4% vs. 15,3%). Von 37 Videos zu Knie-Arthroplastie: 20 omittierten Komplikationen, 16 omittierten Nutzen. Dimensionen Transparenz, Inhalt und Darstellung waren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Videos; direkt anwendbar auf deutsches Versorgungssystem und Patienten</w:t>
      </w:r>
    </w:p>
    <w:p>
      <w:r>
        <w:rPr>
          <w:color w:val="5A7D3A"/>
          <w:sz w:val="18"/>
        </w:rPr>
        <w:t>https://pubmed.ncbi.nlm.nih.gov/42586805/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