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26.10.2026  |  398 Studien  |  healthliteracy.m-vf.de</w:t>
      </w:r>
    </w:p>
    <w:p>
      <w:pPr>
        <w:pStyle w:val="Heading1"/>
      </w:pPr>
      <w:r>
        <w:t>Aufgenommen am 26.10.2026</w:t>
      </w:r>
    </w:p>
    <w:p>
      <w:pPr>
        <w:pStyle w:val="Heading2"/>
      </w:pPr>
      <w:r>
        <w:t>Gesundheitskompetenz in der Menopause: Lücken zwischen Individuum, Versorgung und Gesellschaft</w:t>
      </w:r>
    </w:p>
    <w:p>
      <w:r>
        <w:rPr>
          <w:i/>
          <w:color w:val="666666"/>
          <w:sz w:val="18"/>
        </w:rPr>
        <w:t>Pourshahrokhi N et al.  ·  Health Expect  ·  Okt. 2026  ·  PMID 42925072</w:t>
      </w:r>
    </w:p>
    <w:p>
      <w:r>
        <w:t>Qualitative Interviewstudie mit 22 Frauen und 10 Fachpersonen in Südiran zur Identifikation von Informationsbedarf, Barrieren und Facilitatoren der Menopausenkompetenz.</w:t>
      </w:r>
    </w:p>
    <w:p>
      <w:r>
        <w:rPr>
          <w:b/>
        </w:rPr>
        <w:t xml:space="preserve">Ergebnis: </w:t>
      </w:r>
      <w:r>
        <w:t>Menopause wird von Frauen als unerwarteter, multidimensionaler Übergang erlebt. Zentrale Lücken: Mangel an Aufklärung, Stigma, unzureichendes Engagement von Fachpersonen, Schwierigkeit beim Auffinden verlässlicher Quellen. Facilitatoren: symptomorientierte Strategien, Lifestyle-Änderung, Familie und Peer-Support.</w:t>
      </w:r>
    </w:p>
    <w:p>
      <w:r>
        <w:rPr>
          <w:b/>
          <w:sz w:val="19"/>
        </w:rPr>
        <w:t xml:space="preserve">Übertragbarkeit: </w:t>
      </w:r>
      <w:r>
        <w:rPr>
          <w:sz w:val="19"/>
        </w:rPr>
        <w:t>Iran; kulturelle Kontexte und Stigma beeinflussen; Empfehlungen (evidenzbasierte Bildung, barrierefreie Ressourcen) teilweise auf Deutschland übertragbar</w:t>
      </w:r>
    </w:p>
    <w:p>
      <w:r>
        <w:rPr>
          <w:color w:val="5A7D3A"/>
          <w:sz w:val="18"/>
        </w:rPr>
        <w:t>https://pubmed.ncbi.nlm.nih.gov/42925072/</w:t>
      </w:r>
    </w:p>
    <w:p>
      <w:pPr>
        <w:pStyle w:val="Heading2"/>
      </w:pPr>
      <w:r>
        <w:t>Patientenbeteiligung bei Post-Discharge-Kommunikation: Co-Design mit älteren Menschen</w:t>
      </w:r>
    </w:p>
    <w:p>
      <w:r>
        <w:rPr>
          <w:i/>
          <w:color w:val="666666"/>
          <w:sz w:val="18"/>
        </w:rPr>
        <w:t>Spencer RA et al.  ·  Health Expect  ·  Okt. 2026  ·  PMID 42925008</w:t>
      </w:r>
    </w:p>
    <w:p>
      <w:r>
        <w:t>Workshop mit 21 Teilnehmern (10 Patienten/Angehörige, 11 klinische Führungskräfte) nutzte Nominal Group Technique zur Erarbeitung von Empfehlungen für ein patientenzentriertes Entlassungsmanagement im NHS.</w:t>
      </w:r>
    </w:p>
    <w:p>
      <w:r>
        <w:rPr>
          <w:b/>
        </w:rPr>
        <w:t xml:space="preserve">Ergebnis: </w:t>
      </w:r>
      <w:r>
        <w:t>52 Aussagen generiert, 35 als akzeptabel und machbar bewertet. Höchste Priorität: Patientenautonomie, Transparenz, Einbeziehung ambulanter Fachkräfte. Vollständige Digitalisierung wurde als unangemessen erachtet. Das Verfahren (RAND/UCLA-Voting) bewährte sich für Mixed-PPI-Beteiligung.</w:t>
      </w:r>
    </w:p>
    <w:p>
      <w:r>
        <w:rPr>
          <w:b/>
          <w:sz w:val="19"/>
        </w:rPr>
        <w:t xml:space="preserve">Übertragbarkeit: </w:t>
      </w:r>
      <w:r>
        <w:rPr>
          <w:sz w:val="19"/>
        </w:rPr>
        <w:t>Großbritannien, NHS-Struktur; Gatekeeping-Modell nicht direkt auf deutsches freies Arztwahlsystem übertragbar</w:t>
      </w:r>
    </w:p>
    <w:p>
      <w:r>
        <w:rPr>
          <w:color w:val="5A7D3A"/>
          <w:sz w:val="18"/>
        </w:rPr>
        <w:t>https://pubmed.ncbi.nlm.nih.gov/42925008/</w:t>
      </w:r>
    </w:p>
    <w:p>
      <w:pPr>
        <w:pStyle w:val="Heading2"/>
      </w:pPr>
      <w:r>
        <w:t>Shared Decision Making mit Apothekern in der Primärversorgung: Patientenerfahrungen und Einflussfaktoren</w:t>
      </w:r>
    </w:p>
    <w:p>
      <w:r>
        <w:rPr>
          <w:i/>
          <w:color w:val="666666"/>
          <w:sz w:val="18"/>
        </w:rPr>
        <w:t>Loewen PS et al.  ·  Fam Pract  ·  06.10.2026  ·  PMID 42924607</w:t>
      </w:r>
    </w:p>
    <w:p>
      <w:r>
        <w:t>Querschnittsumfrage bei 604 Patienten der Pharmacists in Primary Care Network (PCN) in Kanada zu ihren Erfahrungen mit Shared Decision Making (SDM) mittels SDM-Q-9-Fragebogen.</w:t>
      </w:r>
    </w:p>
    <w:p>
      <w:r>
        <w:rPr>
          <w:b/>
        </w:rPr>
        <w:t xml:space="preserve">Ergebnis: </w:t>
      </w:r>
      <w:r>
        <w:t>Medianer SDM-Q-9-Score 77,8 (IQR 62,2–91,1), deutend auf moderately strong agreement mit SDM-Prozess. Demografische und klinische Faktoren erklärten 5% der Varianz, psychologische Faktoren (Erwartungen, Medikamentverständnis, Engagement-Motivation, Gesamterlebnis) erklärten 39% der Varianz. SDM-Erfahrung wurde von Patienten &lt;65 Jahren und bei Präsenzterminen höher bewertet.</w:t>
      </w:r>
    </w:p>
    <w:p>
      <w:r>
        <w:rPr>
          <w:b/>
          <w:sz w:val="19"/>
        </w:rPr>
        <w:t xml:space="preserve">Übertragbarkeit: </w:t>
      </w:r>
      <w:r>
        <w:rPr>
          <w:sz w:val="19"/>
        </w:rPr>
        <w:t>Kanada, ähnliches Gesundheitssystem; Apotheken-Rollen unterscheiden sich in Deutschland</w:t>
      </w:r>
    </w:p>
    <w:p>
      <w:r>
        <w:rPr>
          <w:color w:val="5A7D3A"/>
          <w:sz w:val="18"/>
        </w:rPr>
        <w:t>https://pubmed.ncbi.nlm.nih.gov/42924607/</w:t>
      </w:r>
    </w:p>
    <w:p>
      <w:pPr>
        <w:pStyle w:val="Heading2"/>
      </w:pPr>
      <w:r>
        <w:t>Patientenengagement in genetischer Onkologie-Beratung: Analyse von Gesprächsstrategien</w:t>
      </w:r>
    </w:p>
    <w:p>
      <w:r>
        <w:rPr>
          <w:i/>
          <w:color w:val="666666"/>
          <w:sz w:val="18"/>
        </w:rPr>
        <w:t>Lim T et al.  ·  J Genet Couns  ·  Okt. 2026  ·  PMID 42924565</w:t>
      </w:r>
    </w:p>
    <w:p>
      <w:r>
        <w:t>Conversation-Analyse von Videoaufnahmen genetischer Beratungsgespräche (Singapur) zur Identifikation von Kommunikationsstrategien, die Verständnis und psychosoziale Unterstützung fördern.</w:t>
      </w:r>
    </w:p>
    <w:p>
      <w:r>
        <w:rPr>
          <w:b/>
        </w:rPr>
        <w:t xml:space="preserve">Ergebnis: </w:t>
      </w:r>
      <w:r>
        <w:t>Offene Eröffnungsfragen führten zu reichhaltigeren, patientengesteuerten Narrativen; geschlossene Fragen beschränkten Antworten. Explizite Einladung zur Mitteilung von Sorgen oder reaktives Eingehen auf Offenbarungen persönlicher Umstände stärkten emotionale Unterstützung. Mikroanalyse zeigt Integration von Informationsvermittlung mit psychosozialer Unterstützung.</w:t>
      </w:r>
    </w:p>
    <w:p>
      <w:r>
        <w:rPr>
          <w:b/>
          <w:sz w:val="19"/>
        </w:rPr>
        <w:t xml:space="preserve">Übertragbarkeit: </w:t>
      </w:r>
      <w:r>
        <w:rPr>
          <w:sz w:val="19"/>
        </w:rPr>
        <w:t>Singapur; Gesprächstechniken zum Thema Verständnis und Beteiligung sind prinzipiell übertragbar</w:t>
      </w:r>
    </w:p>
    <w:p>
      <w:r>
        <w:rPr>
          <w:color w:val="5A7D3A"/>
          <w:sz w:val="18"/>
        </w:rPr>
        <w:t>https://pubmed.ncbi.nlm.nih.gov/42924565/</w:t>
      </w:r>
    </w:p>
    <w:p>
      <w:pPr>
        <w:pStyle w:val="Heading2"/>
      </w:pPr>
      <w:r>
        <w:t>Gesundheitskommunikation für Lebensstiländerung bei älteren Hypertoniker: Scoping-Review-Protokoll</w:t>
      </w:r>
    </w:p>
    <w:p>
      <w:r>
        <w:rPr>
          <w:i/>
          <w:color w:val="666666"/>
          <w:sz w:val="18"/>
        </w:rPr>
        <w:t>Ferreira R et al.  ·  J Eval Clin Pract  ·  Okt. 2026  ·  PMID 42912184</w:t>
      </w:r>
    </w:p>
    <w:p>
      <w:r>
        <w:t>Protokoll für systematische Scoping Review zu Gesundheitskommunikationsstrategien für Lebensstiländerungen bei Erwachsenen ≥65 Jahren mit Hypertonie.</w:t>
      </w:r>
    </w:p>
    <w:p>
      <w:r>
        <w:rPr>
          <w:b/>
        </w:rPr>
        <w:t xml:space="preserve">Ergebnis: </w:t>
      </w:r>
      <w:r>
        <w:t>Studie ist methodisches Protokoll ohne Ergebnisse. Geplante Analyse von Kommunikationsstrategien (allein oder kombiniert mit Pharmakotherapie) zur Förderung von Lebensstiländerungen, mit Erfassung von Barrieren und Facilitatoren.</w:t>
      </w:r>
    </w:p>
    <w:p>
      <w:r>
        <w:rPr>
          <w:b/>
          <w:sz w:val="19"/>
        </w:rPr>
        <w:t xml:space="preserve">Übertragbarkeit: </w:t>
      </w:r>
      <w:r>
        <w:rPr>
          <w:sz w:val="19"/>
        </w:rPr>
        <w:t>Protokoll ohne Ergebnisse; Ausschluss</w:t>
      </w:r>
    </w:p>
    <w:p>
      <w:r>
        <w:rPr>
          <w:color w:val="5A7D3A"/>
          <w:sz w:val="18"/>
        </w:rPr>
        <w:t>https://pubmed.ncbi.nlm.nih.gov/42912184/</w:t>
      </w:r>
    </w:p>
    <w:p>
      <w:pPr>
        <w:pStyle w:val="Heading2"/>
      </w:pPr>
      <w:r>
        <w:t>Ermöglichen YouTube-Videos informierte Entscheidungen zur Kniearthrose? Analyse deutschsprachiger Videos</w:t>
      </w:r>
    </w:p>
    <w:p>
      <w:r>
        <w:rPr>
          <w:i/>
          <w:color w:val="666666"/>
          <w:sz w:val="18"/>
        </w:rPr>
        <w:t>Zacher S et al.  ·  Z Evid Fortbild Qual Gesundhwes  ·  13.08.2026  ·  PMID 42586805</w:t>
      </w:r>
    </w:p>
    <w:p>
      <w:r>
        <w:t>Systematische Analyse von 79 deutschsprachigen YouTube-Videos zur Kniearthrose-Behandlung mittels MAPPinfo-Checkliste zur Bewertung der Qualität von Gesundheitsinformation.</w:t>
      </w:r>
    </w:p>
    <w:p>
      <w:r>
        <w:rPr>
          <w:b/>
        </w:rPr>
        <w:t xml:space="preserve">Ergebnis: </w:t>
      </w:r>
      <w:r>
        <w:t>79 Videos (50 Gesundheitsinformationsmaterialien analysiert). Mittlere Informationsqualität 15,4% (Spanne 5–25, SD 4,5); kein Material erfüllte alle Kriterien. Zertifizierte YouTube-Health-Videos zeigten keine bessere Qualität (15,4% vs. 15,3%). Von 37 Videos zu Knie-Arthroplastie: 20 omittierten Komplikationen, 16 omittierten Nutzen. Dimensionen Transparenz, Inhalt und Darstellung waren unzureichend.</w:t>
      </w:r>
    </w:p>
    <w:p>
      <w:r>
        <w:rPr>
          <w:b/>
          <w:sz w:val="19"/>
        </w:rPr>
        <w:t xml:space="preserve">Übertragbarkeit: </w:t>
      </w:r>
      <w:r>
        <w:rPr>
          <w:sz w:val="19"/>
        </w:rPr>
        <w:t>Deutschland, deutschsprachige Videos; direkt anwendbar auf deutsches Versorgungssystem und Patienten</w:t>
      </w:r>
    </w:p>
    <w:p>
      <w:r>
        <w:rPr>
          <w:color w:val="5A7D3A"/>
          <w:sz w:val="18"/>
        </w:rPr>
        <w:t>https://pubmed.ncbi.nlm.nih.gov/42586805/</w:t>
      </w:r>
    </w:p>
    <w:p>
      <w:pPr>
        <w:pStyle w:val="Heading1"/>
      </w:pPr>
      <w:r>
        <w:t>Aufgenommen am 25.10.2026</w:t>
      </w:r>
    </w:p>
    <w:p>
      <w:pPr>
        <w:pStyle w:val="Heading2"/>
      </w:pPr>
      <w:r>
        <w:t>Shared Decision-Making bei Stammzelltransplantation: Patientenperspektiven auf Entscheidungskomplexität</w:t>
      </w:r>
    </w:p>
    <w:p>
      <w:r>
        <w:rPr>
          <w:i/>
          <w:color w:val="666666"/>
          <w:sz w:val="18"/>
        </w:rPr>
        <w:t>Wu Q et al.  ·  Support Care Cancer  ·  23.10.2026  ·  PMID 42909656</w:t>
      </w:r>
    </w:p>
    <w:p>
      <w:r>
        <w:t>Systematische qualitative Übersicht von 20 Studien zu Patientenperspektiven bei der Entscheidung für Stammzelltransplantation; identifiziert vier zentrale Faktoren: eingeschränkte Wahlmöglichkeiten, relationale Entscheidungskontexte, finanzielle und logistische Hürden, Besorgnis um soziale Teilhabe.</w:t>
      </w:r>
    </w:p>
    <w:p>
      <w:r>
        <w:rPr>
          <w:b/>
        </w:rPr>
        <w:t xml:space="preserve">Ergebnis: </w:t>
      </w:r>
      <w:r>
        <w:t>Vier integrierte Befunde zeigen, dass Stammzelltransplantationsentscheidungen nicht nur von klinischen Risiken abhängen, sondern stark von Kontextfaktoren geprägt sind: Patienten erleben begrenzte Wahlmöglichkeiten, müssen Entscheidungen im familiären Kontext treffen, berichten finanzielle/logistische Barrieren und fürchten Einbußen sozialer Teilhabe. SDM-gestützte Entscheidungshilfen sollten daher über bloße Informationsvermittlung hinausgehen.</w:t>
      </w:r>
    </w:p>
    <w:p>
      <w:r>
        <w:rPr>
          <w:b/>
          <w:sz w:val="19"/>
        </w:rPr>
        <w:t xml:space="preserve">Übertragbarkeit: </w:t>
      </w:r>
      <w:r>
        <w:rPr>
          <w:sz w:val="19"/>
        </w:rPr>
        <w:t>China - Befunde zu Entscheidungskontexten systemübergreifend relevant</w:t>
      </w:r>
    </w:p>
    <w:p>
      <w:r>
        <w:rPr>
          <w:color w:val="5A7D3A"/>
          <w:sz w:val="18"/>
        </w:rPr>
        <w:t>https://pubmed.ncbi.nlm.nih.gov/42909656/</w:t>
      </w:r>
    </w:p>
    <w:p>
      <w:pPr>
        <w:pStyle w:val="Heading2"/>
      </w:pPr>
      <w:r>
        <w:t>Patient Activation bei Keratitis: Mikro-, Meso- und Makroebenen-Faktoren hemmen oder fördern Selbstmanagement</w:t>
      </w:r>
    </w:p>
    <w:p>
      <w:r>
        <w:rPr>
          <w:i/>
          <w:color w:val="666666"/>
          <w:sz w:val="18"/>
        </w:rPr>
        <w:t>Yu H et al.  ·  Front Public Health  ·  07.10.2026  ·  PMID 42909004</w:t>
      </w:r>
    </w:p>
    <w:p>
      <w:r>
        <w:t>Qualitative Studie mit 15 Patienten in China zu Barrieren und Förderern von Patient Activation bei infektiöser Keratitis über dreischichtige ökosystemische Perspektive (Individuum, Familie/Versorgung, Gesellschaft).</w:t>
      </w:r>
    </w:p>
    <w:p>
      <w:r>
        <w:rPr>
          <w:b/>
        </w:rPr>
        <w:t xml:space="preserve">Ergebnis: </w:t>
      </w:r>
      <w:r>
        <w:t>Drei Kategorien identifiziert: (1) Mikrosystem – Wahrnehmung und Verhaltensanpassungsprobleme unter Krankheitslast; (2) Mesosystem – Unterstützungs- und Spannungsfaktoren in Familie und Versorgung; (3) Makrosystem – Herausforderungen beim Aufbau sozialer Netzwerke. Patient Activation gehemmt durch individuelle, familiäre, Versorgungs- und Sozialfaktoren über alle Ebenen.</w:t>
      </w:r>
    </w:p>
    <w:p>
      <w:r>
        <w:rPr>
          <w:b/>
          <w:sz w:val="19"/>
        </w:rPr>
        <w:t xml:space="preserve">Übertragbarkeit: </w:t>
      </w:r>
      <w:r>
        <w:rPr>
          <w:sz w:val="19"/>
        </w:rPr>
        <w:t>China – Mehrebenen-Modell der Patientenaktivierung systemübergreifend relevant, sprachspezifische Anpassung nötig</w:t>
      </w:r>
    </w:p>
    <w:p>
      <w:r>
        <w:rPr>
          <w:color w:val="5A7D3A"/>
          <w:sz w:val="18"/>
        </w:rPr>
        <w:t>https://pubmed.ncbi.nlm.nih.gov/42909004/</w:t>
      </w:r>
    </w:p>
    <w:p>
      <w:pPr>
        <w:pStyle w:val="Heading2"/>
      </w:pPr>
      <w:r>
        <w:t>Adhärenz nach Schlaganfall vermittelt Effekt von Gesundheitskompetenz auf Lebensqualität</w:t>
      </w:r>
    </w:p>
    <w:p>
      <w:r>
        <w:rPr>
          <w:i/>
          <w:color w:val="666666"/>
          <w:sz w:val="18"/>
        </w:rPr>
        <w:t>Sun HJ et al.  ·  Front Public Health  ·  07.10.2026  ·  PMID 42908663</w:t>
      </w:r>
    </w:p>
    <w:p>
      <w:r>
        <w:t>Querschnittstudie mit 509 Schlaganfallpatienten in China zu indirekten Effekten von Health Literacy auf Lebensqualität über Adhärenz nach Entlassung.</w:t>
      </w:r>
    </w:p>
    <w:p>
      <w:r>
        <w:rPr>
          <w:b/>
        </w:rPr>
        <w:t xml:space="preserve">Ergebnis: </w:t>
      </w:r>
      <w:r>
        <w:t>Durchschnittliche Health Literacy 31,40 ± 6,78 (unterhalb Schwellwert). Health Literacy positiv korreliert mit Lebensqualität (r = 0,409, p &lt; 0,001) und Adhärenz (r = 0,223, p &lt; 0,001). Adhärenz positiv korreliert mit Lebensqualität (r = 0,461, p &lt; 0,001). Standardisierter indirekter Effekt durch Adhärenz = 0,087 (95%-KI 0,048–0,134), entspricht etwa 21,3 % der Gesamtassoziation – mediierende Wirkung von Adhärenz signifikant.</w:t>
      </w:r>
    </w:p>
    <w:p>
      <w:r>
        <w:rPr>
          <w:b/>
          <w:sz w:val="19"/>
        </w:rPr>
        <w:t xml:space="preserve">Übertragbarkeit: </w:t>
      </w:r>
      <w:r>
        <w:rPr>
          <w:sz w:val="19"/>
        </w:rPr>
        <w:t>China - Hinweis auf modifizierbare Faktoren bei älteren Schlaganfallpatienten, begrenzte Übertragbarkeit auf deutsches System</w:t>
      </w:r>
    </w:p>
    <w:p>
      <w:r>
        <w:rPr>
          <w:color w:val="5A7D3A"/>
          <w:sz w:val="18"/>
        </w:rPr>
        <w:t>https://pubmed.ncbi.nlm.nih.gov/42908663/</w:t>
      </w:r>
    </w:p>
    <w:p>
      <w:pPr>
        <w:pStyle w:val="Heading2"/>
      </w:pPr>
      <w:r>
        <w:t>Gesundheitskompetenz und Lebensqualität nach Brustkrebs: Alter und Bildung sind Schlüsselfaktoren</w:t>
      </w:r>
    </w:p>
    <w:p>
      <w:r>
        <w:rPr>
          <w:i/>
          <w:color w:val="666666"/>
          <w:sz w:val="18"/>
        </w:rPr>
        <w:t>Aslan SG et al.  ·  Support Care Cancer  ·  22.10.2026  ·  PMID 42907575</w:t>
      </w:r>
    </w:p>
    <w:p>
      <w:r>
        <w:t>Querschnittstudie mit 59 Frauen nach Brustkrebs-Operation zu Zusammenhängen zwischen Health Literacy, lymphödem-bezogener Lebensqualität und soziodemografischen Faktoren.</w:t>
      </w:r>
    </w:p>
    <w:p>
      <w:r>
        <w:rPr>
          <w:b/>
        </w:rPr>
        <w:t xml:space="preserve">Ergebnis: </w:t>
      </w:r>
      <w:r>
        <w:t>Health Literacy variierte erheblich: 11,9 % unzureichend, 27,1 % problematisch/begrenzt, 33,9 % ausreichend, 27,1 % exzellent. Höheres Alter assoziiert mit niedrigerem Health Literacy (OR = 0,916, 95%-KI 0,870–0,964; p &lt; 0,001), höhere Schulbildung mit höherem Health Literacy (OR = 1,498, 95%-KI 1,011–2,217; p = 0,044). Funktionale und psychosoziale Lebensqualität waren miteinander verknüpft.</w:t>
      </w:r>
    </w:p>
    <w:p>
      <w:r>
        <w:rPr>
          <w:b/>
          <w:sz w:val="19"/>
        </w:rPr>
        <w:t xml:space="preserve">Übertragbarkeit: </w:t>
      </w:r>
      <w:r>
        <w:rPr>
          <w:sz w:val="19"/>
        </w:rPr>
        <w:t>Türkei, vergleichbare Versorgungsstrukturen, Evidenz für zielgruppengerechte Schulung</w:t>
      </w:r>
    </w:p>
    <w:p>
      <w:r>
        <w:rPr>
          <w:color w:val="5A7D3A"/>
          <w:sz w:val="18"/>
        </w:rPr>
        <w:t>https://pubmed.ncbi.nlm.nih.gov/42907575/</w:t>
      </w:r>
    </w:p>
    <w:p>
      <w:pPr>
        <w:pStyle w:val="Heading2"/>
      </w:pPr>
      <w:r>
        <w:t>Audiovisuelle Schulungsmaterialien stärken Diabeteserziehung durch Pflegefachpersonen</w:t>
      </w:r>
    </w:p>
    <w:p>
      <w:r>
        <w:rPr>
          <w:i/>
          <w:color w:val="666666"/>
          <w:sz w:val="18"/>
        </w:rPr>
        <w:t>Kudoh R et al.  ·  PLoS One  ·  21.10.2026  ·  PMID 42905735</w:t>
      </w:r>
    </w:p>
    <w:p>
      <w:r>
        <w:t>Qualitative Studie mit acht zertifizierten Diabetes-Pflegefachpersonen zu Effekten eines audiovisuellen Materials auf ihre Patientenedukation zur Mundgesundheit; Datenanalyse mit Inhaltsanalyse.</w:t>
      </w:r>
    </w:p>
    <w:p>
      <w:r>
        <w:rPr>
          <w:b/>
        </w:rPr>
        <w:t xml:space="preserve">Ergebnis: </w:t>
      </w:r>
      <w:r>
        <w:t>Vier Hauptthemen emergiert: (1) Verbesserung individuellen Lernens (8/8 Teilnehmende), einschließlich verbessertes Wissen zur Zahngesundheit-Diabetes-Verbindung; (2) Förderung beruflicher Entwicklung und Reflexion (5/8); (3) neue Einsichten in Patientenversorgung (7/8), besonders Patient-Motivationsstrategien; (4) Implementierungsüberlegungen in Diabetes-Ambulanzen. Material als nützlich wahrgenommen, unterstützt Pflegefachpersonen-Lernziele und Edukationspraxis.</w:t>
      </w:r>
    </w:p>
    <w:p>
      <w:r>
        <w:rPr>
          <w:b/>
          <w:sz w:val="19"/>
        </w:rPr>
        <w:t xml:space="preserve">Übertragbarkeit: </w:t>
      </w:r>
      <w:r>
        <w:rPr>
          <w:sz w:val="19"/>
        </w:rPr>
        <w:t>Japan – audiovisuelle Schulung prinzipiell übertragbar, Wirkung auf Patientenverhalten nicht gemessen</w:t>
      </w:r>
    </w:p>
    <w:p>
      <w:r>
        <w:rPr>
          <w:color w:val="5A7D3A"/>
          <w:sz w:val="18"/>
        </w:rPr>
        <w:t>https://pubmed.ncbi.nlm.nih.gov/42905735/</w:t>
      </w:r>
    </w:p>
    <w:p>
      <w:pPr>
        <w:pStyle w:val="Heading2"/>
      </w:pPr>
      <w:r>
        <w:t>Patient Public Involvement verbessert Verständlichkeit von Wirtschaftlichkeitsstudien: Demenzbeispiel</w:t>
      </w:r>
    </w:p>
    <w:p>
      <w:r>
        <w:rPr>
          <w:i/>
          <w:color w:val="666666"/>
          <w:sz w:val="18"/>
        </w:rPr>
        <w:t>Eaglestone G et al.  ·  Appl Health Econ Health Policy  ·  20.07.2026  ·  PMID 42474961</w:t>
      </w:r>
    </w:p>
    <w:p>
      <w:r>
        <w:t>Methodologische Studie zur Rolle von Patient Public Involvement (PPI) bei der Entwicklung einer Befragung für ökonomische Evaluationen in der Demenzforschung; vier Personen mit Demenzerfahrung refinierten Fragebogendesign durch Onlinebesprechungen.</w:t>
      </w:r>
    </w:p>
    <w:p>
      <w:r>
        <w:rPr>
          <w:b/>
        </w:rPr>
        <w:t xml:space="preserve">Ergebnis: </w:t>
      </w:r>
      <w:r>
        <w:t>PPI-Beiträge führten zu bedeutsamen Verbesserungen: Terminologie vereinfacht, mehrdeutige/belastende Items entfernt, Gesamtnutzbarkeit erhöht. Kern-Empfehlung: Early und kollaboratives Einbeziehen von PPI-Beitragenden bereichert Relevanz und Sensibilität von Forschungsinstrumenten; Co-Design-Ansätze erfordern aber maßgeschneiderte Unterstützung und zugängliche Einführungen in ökonomische Konzepte.</w:t>
      </w:r>
    </w:p>
    <w:p>
      <w:r>
        <w:rPr>
          <w:b/>
          <w:sz w:val="19"/>
        </w:rPr>
        <w:t xml:space="preserve">Übertragbarkeit: </w:t>
      </w:r>
      <w:r>
        <w:rPr>
          <w:sz w:val="19"/>
        </w:rPr>
        <w:t>Großbritannien – Modell für PPI-Integration in deutschsprachige Forschungsentwicklung übertragbar</w:t>
      </w:r>
    </w:p>
    <w:p>
      <w:r>
        <w:rPr>
          <w:color w:val="5A7D3A"/>
          <w:sz w:val="18"/>
        </w:rPr>
        <w:t>https://pubmed.ncbi.nlm.nih.gov/42474961/</w:t>
      </w:r>
    </w:p>
    <w:p>
      <w:pPr>
        <w:pStyle w:val="Heading1"/>
      </w:pPr>
      <w:r>
        <w:t>Aufgenommen am 24.10.2026</w:t>
      </w:r>
    </w:p>
    <w:p>
      <w:pPr>
        <w:pStyle w:val="Heading2"/>
      </w:pPr>
      <w:r>
        <w:t>Strukturierte Mundhygiene-Schulung verbessert Zahngesundheit vor Tumorbestrahlung langfristig</w:t>
      </w:r>
    </w:p>
    <w:p>
      <w:r>
        <w:rPr>
          <w:i/>
          <w:color w:val="666666"/>
          <w:sz w:val="18"/>
        </w:rPr>
        <w:t>Sun C et al.  ·  BMC Oral Health  ·  28.07.2026  ·  PMID 42919312</w:t>
      </w:r>
    </w:p>
    <w:p>
      <w:r>
        <w:t>Zweiarmige Studie in China: 63 Patienten mit Kopf-Hals-Tumoren erhielten strukturierte Schulung (OHBCA) zu Mundhygiene vor Bestrahlung; 24 davon wurden 12 Monate nachbeobachtet und mit 19 Kontrollpatienten verglichen.</w:t>
      </w:r>
    </w:p>
    <w:p>
      <w:r>
        <w:rPr>
          <w:b/>
        </w:rPr>
        <w:t xml:space="preserve">Ergebnis: </w:t>
      </w:r>
      <w:r>
        <w:t>Phase 1: Schulung führte zu signifikanten Verbesserungen bei Wissen, Bewusstsein und Verhalten (alle p&lt;0,01). Phase 2 (12 Monate): Interventionsgruppe zeigte bessere Mundhygiene-Indizes (alle p&lt;0,0001) als Kontrolle, weniger Zahnbelag und Zahnfleischentzündung.</w:t>
      </w:r>
    </w:p>
    <w:p>
      <w:r>
        <w:rPr>
          <w:b/>
          <w:sz w:val="19"/>
        </w:rPr>
        <w:t xml:space="preserve">Übertragbarkeit: </w:t>
      </w:r>
      <w:r>
        <w:rPr>
          <w:sz w:val="19"/>
        </w:rPr>
        <w:t>China, aber Schulungsansatz zur Vermeidung strahlentherapiebedingter Zahnkomplikationen prinzipiell übertragbar.</w:t>
      </w:r>
    </w:p>
    <w:p>
      <w:r>
        <w:rPr>
          <w:color w:val="5A7D3A"/>
          <w:sz w:val="18"/>
        </w:rPr>
        <w:t>https://pubmed.ncbi.nlm.nih.gov/42919312/</w:t>
      </w:r>
    </w:p>
    <w:p>
      <w:pPr>
        <w:pStyle w:val="Heading2"/>
      </w:pPr>
      <w:r>
        <w:t>Strukturierte Schulung senkt Stürze bei älteren Patienten deutlich</w:t>
      </w:r>
    </w:p>
    <w:p>
      <w:r>
        <w:rPr>
          <w:i/>
          <w:color w:val="666666"/>
          <w:sz w:val="18"/>
        </w:rPr>
        <w:t>Kim E et al.  ·  BMC Geriatr  ·  27.07.2026  ·  PMID 42919133</w:t>
      </w:r>
    </w:p>
    <w:p>
      <w:r>
        <w:t>Quasi-experimentelle Studie zur Wirkung eines partizipativen fünftägigen Schulungsprogramms (APREAL) auf Sturzrisiken bei älteren Patienten in koreanischen Krankenhausstationen.</w:t>
      </w:r>
    </w:p>
    <w:p>
      <w:r>
        <w:rPr>
          <w:b/>
        </w:rPr>
        <w:t xml:space="preserve">Ergebnis: </w:t>
      </w:r>
      <w:r>
        <w:t>Die Interventionsgruppe zeigte nach der Schulung signifikant höhere Werte bei Sturzwissen (F=27,41, p&lt;0,001, η²=0,287), Selbstwirksamkeit (F=32,85, p&lt;0,001, η²=0,326) und Sturzprävention-Verhalten (F=93,14, p&lt;0,001, η²=0,578). Die Kontrollstation verzeichnete 2,3 Stürze pro 1.000 Patiententage, die Interventionsstation 0,0.</w:t>
      </w:r>
    </w:p>
    <w:p>
      <w:r>
        <w:rPr>
          <w:b/>
          <w:sz w:val="19"/>
        </w:rPr>
        <w:t xml:space="preserve">Übertragbarkeit: </w:t>
      </w:r>
      <w:r>
        <w:rPr>
          <w:sz w:val="19"/>
        </w:rPr>
        <w:t>Südkorea, aber Design und Schulungsformat lassen sich auf deutsche Krankenhausstationen übertragen.</w:t>
      </w:r>
    </w:p>
    <w:p>
      <w:r>
        <w:rPr>
          <w:color w:val="5A7D3A"/>
          <w:sz w:val="18"/>
        </w:rPr>
        <w:t>https://pubmed.ncbi.nlm.nih.gov/42919133/</w:t>
      </w:r>
    </w:p>
    <w:p>
      <w:pPr>
        <w:pStyle w:val="Heading2"/>
      </w:pPr>
      <w:r>
        <w:t>Informationsquellen beeinflussen Selbstwirksamkeit von Demenzpflegenden stärker als Wissen</w:t>
      </w:r>
    </w:p>
    <w:p>
      <w:r>
        <w:rPr>
          <w:i/>
          <w:color w:val="666666"/>
          <w:sz w:val="18"/>
        </w:rPr>
        <w:t>Goh YL et al.  ·  BMC Geriatr  ·  28.07.2026  ·  PMID 42919127</w:t>
      </w:r>
    </w:p>
    <w:p>
      <w:r>
        <w:t>Querschnittstudie mit 258 Angehörigen von Demenzkranken in Malaysia: Welche Informationsquellen und deren Kombinationen beeinflussen die Selbstwirksamkeit in der Pflegeverantwortung?</w:t>
      </w:r>
    </w:p>
    <w:p>
      <w:r>
        <w:rPr>
          <w:b/>
        </w:rPr>
        <w:t xml:space="preserve">Ergebnis: </w:t>
      </w:r>
      <w:r>
        <w:t>Nutzung mehrerer Informationsquellen erhöht Selbstwirksamkeit signifikant (erklärte Varianz 6,7% auf 12,6%, p&lt;0,05). Schriftliche Materialien und ärztliche Beratung steigerten Selbstwirksamkeit; Facebook und Selbsthilfegruppen wirkten sich negativ aus. Besonderheit: Vertrauen war kulturabhängig (Glaubenshaltung half Malayen mehr).</w:t>
      </w:r>
    </w:p>
    <w:p>
      <w:r>
        <w:rPr>
          <w:b/>
          <w:sz w:val="19"/>
        </w:rPr>
        <w:t xml:space="preserve">Übertragbarkeit: </w:t>
      </w:r>
      <w:r>
        <w:rPr>
          <w:sz w:val="19"/>
        </w:rPr>
        <w:t>Mittleres Einkommenland, aber Befund zu Qualität von Informationsquellen prinzipiell übertragbar.</w:t>
      </w:r>
    </w:p>
    <w:p>
      <w:r>
        <w:rPr>
          <w:color w:val="5A7D3A"/>
          <w:sz w:val="18"/>
        </w:rPr>
        <w:t>https://pubmed.ncbi.nlm.nih.gov/42919127/</w:t>
      </w:r>
    </w:p>
    <w:p>
      <w:pPr>
        <w:pStyle w:val="Heading2"/>
      </w:pPr>
      <w:r>
        <w:t>Mehrsprachige Schulungsmaterialien zu chronischen Erkrankungen sind verständlich und akzeptiert</w:t>
      </w:r>
    </w:p>
    <w:p>
      <w:r>
        <w:rPr>
          <w:i/>
          <w:color w:val="666666"/>
          <w:sz w:val="18"/>
        </w:rPr>
        <w:t>Lexius O et al.  ·  Rev Lat Am Enfermagem  ·  16.10.2026  ·  PMID 42912030</w:t>
      </w:r>
    </w:p>
    <w:p>
      <w:r>
        <w:t>Validierungsstudie eines Schulungsleitfadens in Kreolisch für haitianische Migranten in Brasilien: Inhalts- und semantische Validierung durch 17 Fachexperten und 30 Migranten.</w:t>
      </w:r>
    </w:p>
    <w:p>
      <w:r>
        <w:rPr>
          <w:b/>
        </w:rPr>
        <w:t xml:space="preserve">Ergebnis: </w:t>
      </w:r>
      <w:r>
        <w:t>Gesamter Konkordanzindex 0,91, SAM-Score 25,8 Punkte. Beide Validierungen bestätigen Eignung des Materials für Prävention und Selbstmanagement chronischer Erkrankungen bei Migranten. Hohe kulturelle und sprachliche Angemessenheit.</w:t>
      </w:r>
    </w:p>
    <w:p>
      <w:r>
        <w:rPr>
          <w:b/>
          <w:sz w:val="19"/>
        </w:rPr>
        <w:t xml:space="preserve">Übertragbarkeit: </w:t>
      </w:r>
      <w:r>
        <w:rPr>
          <w:sz w:val="19"/>
        </w:rPr>
        <w:t>Brasilien, aber Ansatz zur migrantengerechten Materialentwicklung mit Sprachangepassung auf Deutschland übertragbar.</w:t>
      </w:r>
    </w:p>
    <w:p>
      <w:r>
        <w:rPr>
          <w:color w:val="5A7D3A"/>
          <w:sz w:val="18"/>
        </w:rPr>
        <w:t>https://pubmed.ncbi.nlm.nih.gov/42912030/</w:t>
      </w:r>
    </w:p>
    <w:p>
      <w:pPr>
        <w:pStyle w:val="Heading2"/>
      </w:pPr>
      <w:r>
        <w:t>Gesundheitskompetenz in Erwachsenenbildung: Verständnis und Handeln korrelieren nur schwach</w:t>
      </w:r>
    </w:p>
    <w:p>
      <w:r>
        <w:rPr>
          <w:i/>
          <w:color w:val="666666"/>
          <w:sz w:val="18"/>
        </w:rPr>
        <w:t>Bazileva A et al.  ·  Front Public Health  ·  07.10.2026  ·  PMID 42908939</w:t>
      </w:r>
    </w:p>
    <w:p>
      <w:r>
        <w:t>Mixed-Methods-Studie in Lettland: 320 Erwachsene wurden online zu Gesundheitskompetenz befragt, 6 Experten interviewt – Welche Faktoren fördern Verständnis und praktische Anwendung von Gesundheitsinformation?</w:t>
      </w:r>
    </w:p>
    <w:p>
      <w:r>
        <w:rPr>
          <w:b/>
        </w:rPr>
        <w:t xml:space="preserve">Ergebnis: </w:t>
      </w:r>
      <w:r>
        <w:t>Moderate positive Korrelation zwischen Verständnis und Anwendung (τ=0,383, p&lt;0,001), zwischen Zugang und Verständnis (τ=0,428, p&lt;0,001). Familienstand signifikant für kritische Informationsbewertung (H(3)=10,45, p=0,015). Barrieren: Fragmentierung der Bildung, fehlende Motivation, Desinformation. Ein konzeptueller Rahmen für mehrstufige Interventionen wurde entwickelt.</w:t>
      </w:r>
    </w:p>
    <w:p>
      <w:r>
        <w:rPr>
          <w:b/>
          <w:sz w:val="19"/>
        </w:rPr>
        <w:t xml:space="preserve">Übertragbarkeit: </w:t>
      </w:r>
      <w:r>
        <w:rPr>
          <w:sz w:val="19"/>
        </w:rPr>
        <w:t>Lettland (EU), vergleichbare Gesundheitssystemaufgaben, Befunde zur Lücke zwischen Verständnis und Handeln relevant für Deutschland.</w:t>
      </w:r>
    </w:p>
    <w:p>
      <w:r>
        <w:rPr>
          <w:color w:val="5A7D3A"/>
          <w:sz w:val="18"/>
        </w:rPr>
        <w:t>https://pubmed.ncbi.nlm.nih.gov/42908939/</w:t>
      </w:r>
    </w:p>
    <w:p>
      <w:pPr>
        <w:pStyle w:val="Heading2"/>
      </w:pPr>
      <w:r>
        <w:t>Radiographen kommunizieren Strahlenrisiken oft unklar – Schulung und Materialien helfen</w:t>
      </w:r>
    </w:p>
    <w:p>
      <w:r>
        <w:rPr>
          <w:i/>
          <w:color w:val="666666"/>
          <w:sz w:val="18"/>
        </w:rPr>
        <w:t>Angaag NA et al.  ·  Radiography (Lond)  ·  10.10.2026  ·  PMID 42858546</w:t>
      </w:r>
    </w:p>
    <w:p>
      <w:r>
        <w:t>Scoping Review der Kommunikationspraktiken von Radiographen beim Aufklären über Strahlenrisiken in der Bildgebung: Welche Strategien funktionieren, welche Barrieren bestehen?</w:t>
      </w:r>
    </w:p>
    <w:p>
      <w:r>
        <w:rPr>
          <w:b/>
        </w:rPr>
        <w:t xml:space="preserve">Ergebnis: </w:t>
      </w:r>
      <w:r>
        <w:t>Radiographen nutzten überwiegend verbale, aktive oder passive Kommunikation. Hauptbarrieren: Angst vor Patientenangst, niedriges Wissen und Selbstvertrauen, unklare Rollenverteilung, fehlende Ressourcen. Empfohlen: standardisierte Protokolle, Radiographen-Fortbildung, interaktive Strategien und Patientenmaterialien.</w:t>
      </w:r>
    </w:p>
    <w:p>
      <w:r>
        <w:rPr>
          <w:b/>
          <w:sz w:val="19"/>
        </w:rPr>
        <w:t xml:space="preserve">Übertragbarkeit: </w:t>
      </w:r>
      <w:r>
        <w:rPr>
          <w:sz w:val="19"/>
        </w:rPr>
        <w:t>Überwiegend Studien aus Großbritannien und Australien; Befunde zu Kommunikationsbarrieren in der Medizin international relevant.</w:t>
      </w:r>
    </w:p>
    <w:p>
      <w:r>
        <w:rPr>
          <w:color w:val="5A7D3A"/>
          <w:sz w:val="18"/>
        </w:rPr>
        <w:t>https://pubmed.ncbi.nlm.nih.gov/42858546/</w:t>
      </w:r>
    </w:p>
    <w:p>
      <w:pPr>
        <w:pStyle w:val="Heading1"/>
      </w:pPr>
      <w:r>
        <w:t>Aufgenommen am 23.10.2026</w:t>
      </w:r>
    </w:p>
    <w:p>
      <w:pPr>
        <w:pStyle w:val="Heading2"/>
      </w:pPr>
      <w:r>
        <w:t>Shared Decision Making in der Gastroenterologie: Barrieren und Erfolgsfaktoren</w:t>
      </w:r>
    </w:p>
    <w:p>
      <w:r>
        <w:rPr>
          <w:i/>
          <w:color w:val="666666"/>
          <w:sz w:val="18"/>
        </w:rPr>
        <w:t>Schoefs E et al.  ·  BMC Health Serv Res  ·  05.10.2026  ·  PMID 42907825</w:t>
      </w:r>
    </w:p>
    <w:p>
      <w:r>
        <w:t>Qualitative Studie mit 15 IBD-Patienten, 11 Gastroenterologen und 12 Krankenpflegerinnen in Belgien zum Implementierungsstand von SDM bei chronisch-entzündlichen Darmerkrankungen.</w:t>
      </w:r>
    </w:p>
    <w:p>
      <w:r>
        <w:rPr>
          <w:b/>
        </w:rPr>
        <w:t xml:space="preserve">Ergebnis: </w:t>
      </w:r>
      <w:r>
        <w:t>Gastroenterologen berichten routinemäßige SDM-Umsetzung, Patienten jedoch erleben Inkonsistenzen bei emotionaler Unterstützung und Preferenzerkundung. IBD-Pflegekräfte werden als essenzielle Partner wahrgenommen. Hauptbarrieren: niedrige Health Literacy, mangelnde Kommunikation, Zeitmangel. Facilitators: klinischer Nutzen, verstärkte SDM-Schulung, Organisationswandel.</w:t>
      </w:r>
    </w:p>
    <w:p>
      <w:r>
        <w:rPr>
          <w:b/>
          <w:sz w:val="19"/>
        </w:rPr>
        <w:t xml:space="preserve">Übertragbarkeit: </w:t>
      </w:r>
      <w:r>
        <w:rPr>
          <w:sz w:val="19"/>
        </w:rPr>
        <w:t>Belgien, vergleichbarer europäischer Versicherungskontext, ähnliche Organisationsstrukturen</w:t>
      </w:r>
    </w:p>
    <w:p>
      <w:r>
        <w:rPr>
          <w:color w:val="5A7D3A"/>
          <w:sz w:val="18"/>
        </w:rPr>
        <w:t>https://pubmed.ncbi.nlm.nih.gov/42907825/</w:t>
      </w:r>
    </w:p>
    <w:p>
      <w:pPr>
        <w:pStyle w:val="Heading2"/>
      </w:pPr>
      <w:r>
        <w:t>Verständlichkeit von Elternschulung senkt mütterlichen Stress nach Frühgeburten</w:t>
      </w:r>
    </w:p>
    <w:p>
      <w:r>
        <w:rPr>
          <w:i/>
          <w:color w:val="666666"/>
          <w:sz w:val="18"/>
        </w:rPr>
        <w:t>Rahkar Farshi M et al.  ·  BMC Pregnancy Childbirth  ·  27.07.2026  ·  PMID 42907796</w:t>
      </w:r>
    </w:p>
    <w:p>
      <w:r>
        <w:t>Quasi-experimentelle Studie mit 90 Müttern von Frühgeborenen (Booklet n=30, Face-to-Face n=30, Routine n=30) verglich APIB-basierte Schulung zur Säuglingsverhaltensinterpretation auf Stress und Bindung.</w:t>
      </w:r>
    </w:p>
    <w:p>
      <w:r>
        <w:rPr>
          <w:b/>
        </w:rPr>
        <w:t xml:space="preserve">Ergebnis: </w:t>
      </w:r>
      <w:r>
        <w:t>Stress sank in allen Gruppen signifikant (p&lt;0,001). Nach Adjustierung zeigte Booklet-Gruppe signifikant niedrigeren Stress (MD=-6,09, p=0,004) und Face-to-Face-Gruppe (MD=-4,16, p=0,040) vs. Kontrolle. Attachment stieg in Interventionsgruppen, kein signifikanter Unterschied nach Adjustierung (F=0,94, p=0,394).</w:t>
      </w:r>
    </w:p>
    <w:p>
      <w:r>
        <w:rPr>
          <w:b/>
          <w:sz w:val="19"/>
        </w:rPr>
        <w:t xml:space="preserve">Übertragbarkeit: </w:t>
      </w:r>
      <w:r>
        <w:rPr>
          <w:sz w:val="19"/>
        </w:rPr>
        <w:t>Iran, aber Interventionsformat (APIB-Schulung) sprachunabhängig übertragbar auf NICU-Strukturen</w:t>
      </w:r>
    </w:p>
    <w:p>
      <w:r>
        <w:rPr>
          <w:color w:val="5A7D3A"/>
          <w:sz w:val="18"/>
        </w:rPr>
        <w:t>https://pubmed.ncbi.nlm.nih.gov/42907796/</w:t>
      </w:r>
    </w:p>
    <w:p>
      <w:pPr>
        <w:pStyle w:val="Heading2"/>
      </w:pPr>
      <w:r>
        <w:t>Verständliches Video-Training erhöht Wissen über Präeklampsie bei Schwangeren</w:t>
      </w:r>
    </w:p>
    <w:p>
      <w:r>
        <w:rPr>
          <w:i/>
          <w:color w:val="666666"/>
          <w:sz w:val="18"/>
        </w:rPr>
        <w:t>Alrehaili S et al.  ·  BMC Pregnancy Childbirth  ·  27.07.2026  ·  PMID 42907785</w:t>
      </w:r>
    </w:p>
    <w:p>
      <w:r>
        <w:t>Quasi-experimentelle Studie mit 100 schwangeren Frauen untersuchte, ob ein Educational Video das Verständnis über Präeklampsie-Symptome und -risiken steigert, gemessen mit 39-Item-Fragebogen.</w:t>
      </w:r>
    </w:p>
    <w:p>
      <w:r>
        <w:rPr>
          <w:b/>
        </w:rPr>
        <w:t xml:space="preserve">Ergebnis: </w:t>
      </w:r>
      <w:r>
        <w:t>Wissensscore prä-Intervention: 17,40±8,98, post-Intervention: 33,00±4,35, nach 2 Wochen: 31,89±4,73 (p&lt;0,001). Verdoppelung des Wissenspunkts durch Video, mit partieller Retention nach 2 Wochen.</w:t>
      </w:r>
    </w:p>
    <w:p>
      <w:r>
        <w:rPr>
          <w:b/>
          <w:sz w:val="19"/>
        </w:rPr>
        <w:t xml:space="preserve">Übertragbarkeit: </w:t>
      </w:r>
      <w:r>
        <w:rPr>
          <w:sz w:val="19"/>
        </w:rPr>
        <w:t>Saudi-Arabien, Video-Format kultur- und sprachabhängig, aber Prinzip verständlicher Prävention übertragbar</w:t>
      </w:r>
    </w:p>
    <w:p>
      <w:r>
        <w:rPr>
          <w:color w:val="5A7D3A"/>
          <w:sz w:val="18"/>
        </w:rPr>
        <w:t>https://pubmed.ncbi.nlm.nih.gov/42907785/</w:t>
      </w:r>
    </w:p>
    <w:p>
      <w:pPr>
        <w:pStyle w:val="Heading2"/>
      </w:pPr>
      <w:r>
        <w:t>Telefonische Schulung verbessert Anpassung nach Kolostomie und senkt Komplikationen</w:t>
      </w:r>
    </w:p>
    <w:p>
      <w:r>
        <w:rPr>
          <w:i/>
          <w:color w:val="666666"/>
          <w:sz w:val="18"/>
        </w:rPr>
        <w:t>Yurtseven Ş et al.  ·  Support Care Cancer  ·  22.10.2026  ·  PMID 42907685</w:t>
      </w:r>
    </w:p>
    <w:p>
      <w:r>
        <w:t>RCT mit Kolostomie-Patienten (Telefon-Schulung n=, Routine-Pflege n=) über 3 Monate zur Wirkung von strukturierter Pflege-Beratung auf Stoma-Anpassung und Komplikationsschweregrad.</w:t>
      </w:r>
    </w:p>
    <w:p>
      <w:r>
        <w:rPr>
          <w:b/>
        </w:rPr>
        <w:t xml:space="preserve">Ergebnis: </w:t>
      </w:r>
      <w:r>
        <w:t>Telefon-Gruppe zeigte nach 3 Monaten signifikant höhere Akzeptanz- und Gesamt-Anpassungswerte und signifikant niedrigere Komplikationsschweregrad-Werte vs. Kontrolle. Kein signifikanter Unterschied in Angstpreokupation, sozialer Engagement oder Wut.</w:t>
      </w:r>
    </w:p>
    <w:p>
      <w:r>
        <w:rPr>
          <w:b/>
          <w:sz w:val="19"/>
        </w:rPr>
        <w:t xml:space="preserve">Übertragbarkeit: </w:t>
      </w:r>
      <w:r>
        <w:rPr>
          <w:sz w:val="19"/>
        </w:rPr>
        <w:t>Türkei, Telemedizin-Format systemunabhängig, aber Kontinuität post-stationärer Versorgung zentral</w:t>
      </w:r>
    </w:p>
    <w:p>
      <w:r>
        <w:rPr>
          <w:color w:val="5A7D3A"/>
          <w:sz w:val="18"/>
        </w:rPr>
        <w:t>https://pubmed.ncbi.nlm.nih.gov/42907685/</w:t>
      </w:r>
    </w:p>
    <w:p>
      <w:pPr>
        <w:pStyle w:val="Heading2"/>
      </w:pPr>
      <w:r>
        <w:t>Multikomponenten-Interventionen erhöhen Teilnahme an Lungenkrebs-Screening deutlich</w:t>
      </w:r>
    </w:p>
    <w:p>
      <w:r>
        <w:rPr>
          <w:i/>
          <w:color w:val="666666"/>
          <w:sz w:val="18"/>
        </w:rPr>
        <w:t>Djuric O et al.  ·  Eur Respir Rev  ·  21.10.2026  ·  PMID 42906938</w:t>
      </w:r>
    </w:p>
    <w:p>
      <w:r>
        <w:t>Systematische Übersicht mit Metaanalyse von 14 abgeschlossenen Studien (2000–März 2023) zum Effekt von Aufklärung, SDM und Navigation auf LDCT-Screening-Uptake.</w:t>
      </w:r>
    </w:p>
    <w:p>
      <w:r>
        <w:rPr>
          <w:b/>
        </w:rPr>
        <w:t xml:space="preserve">Ergebnis: </w:t>
      </w:r>
      <w:r>
        <w:t>SDM+Navigation: OR 4,34 (95%-CI 2,50–7,54). Outreach+Navigation: OR 2,20 (95%-CI 1,70–2,84). Reine Aufklärung/Information: OR 1,03 (95%-CI 0,89–1,19, nicht signifikant). Multikomponenten-Interventionen: OR 2,64 (95%-CI 1,79–3,90) vs. Monokomponenten: OR 1,00 (95%-CI 0,87–1,14).</w:t>
      </w:r>
    </w:p>
    <w:p>
      <w:r>
        <w:rPr>
          <w:b/>
          <w:sz w:val="19"/>
        </w:rPr>
        <w:t xml:space="preserve">Übertragbarkeit: </w:t>
      </w:r>
      <w:r>
        <w:rPr>
          <w:sz w:val="19"/>
        </w:rPr>
        <w:t>Italien koordinierte Studie, europäische Versorgungskontexte, Screening-Systeme ähnlich Deutschland</w:t>
      </w:r>
    </w:p>
    <w:p>
      <w:r>
        <w:rPr>
          <w:color w:val="5A7D3A"/>
          <w:sz w:val="18"/>
        </w:rPr>
        <w:t>https://pubmed.ncbi.nlm.nih.gov/42906938/</w:t>
      </w:r>
    </w:p>
    <w:p>
      <w:pPr>
        <w:pStyle w:val="Heading2"/>
      </w:pPr>
      <w:r>
        <w:t>Gesundheitskompetenz und Stress beeinflussen Lebensqualität unterschiedlich je nach Krankheitslast</w:t>
      </w:r>
    </w:p>
    <w:p>
      <w:r>
        <w:rPr>
          <w:i/>
          <w:color w:val="666666"/>
          <w:sz w:val="18"/>
        </w:rPr>
        <w:t>Zhou J et al.  ·  Health Promot Int  ·  01.09.2026  ·  PMID 42904456</w:t>
      </w:r>
    </w:p>
    <w:p>
      <w:r>
        <w:t>Querschnittsstudie mit 3.716 finnischen Erwachsenen untersuchte pfadanalytisch, wie Health Literacy über wahrgenommenen Stress die gesundheitsbezogene Lebensqualität beeinflusst, stratifiziert nach Krankheitsbürde.</w:t>
      </w:r>
    </w:p>
    <w:p>
      <w:r>
        <w:rPr>
          <w:b/>
        </w:rPr>
        <w:t xml:space="preserve">Ergebnis: </w:t>
      </w:r>
      <w:r>
        <w:t>Höhere Health Literacy assoziiert mit niedrigerem wahrgenommenen Stress. Stress erklärt ca. 80 % der Gesamtassoziation zwischen Literacy und Lebensqualität (Pfadkoeffizient). Der Stress-Lebensqualität-Effekt war etwa doppelt so stark bei Personen mit mehreren chronischen Erkrankungen (hochsignifikant, p&lt;0,001) als ohne.</w:t>
      </w:r>
    </w:p>
    <w:p>
      <w:r>
        <w:rPr>
          <w:b/>
          <w:sz w:val="19"/>
        </w:rPr>
        <w:t xml:space="preserve">Übertragbarkeit: </w:t>
      </w:r>
      <w:r>
        <w:rPr>
          <w:sz w:val="19"/>
        </w:rPr>
        <w:t>Finnland, Sozialsicherungssystem vergleichbar mit Deutschland, bevölkerungsbasierte Kohortendaten</w:t>
      </w:r>
    </w:p>
    <w:p>
      <w:r>
        <w:rPr>
          <w:color w:val="5A7D3A"/>
          <w:sz w:val="18"/>
        </w:rPr>
        <w:t>https://pubmed.ncbi.nlm.nih.gov/42904456/</w:t>
      </w:r>
    </w:p>
    <w:p>
      <w:pPr>
        <w:pStyle w:val="Heading1"/>
      </w:pPr>
      <w:r>
        <w:t>Aufgenommen am 22.10.2026</w:t>
      </w:r>
    </w:p>
    <w:p>
      <w:pPr>
        <w:pStyle w:val="Heading2"/>
      </w:pPr>
      <w:r>
        <w:t>Psychische Gesundheitskompetenz bei Studierenden: Wissens- und Wissenslücken</w:t>
      </w:r>
    </w:p>
    <w:p>
      <w:r>
        <w:rPr>
          <w:i/>
          <w:color w:val="666666"/>
          <w:sz w:val="18"/>
        </w:rPr>
        <w:t>Muzungu G et al.  ·  BMC Public Health  ·  25.07.2026  ·  PMID 42902196</w:t>
      </w:r>
    </w:p>
    <w:p>
      <w:r>
        <w:t>Querschnittsstudie an 365 nicht-medizinischen Studierenden an der Universität Makerere, Uganda, zur psychischen Gesundheitskompetenz mit standardisiertem Fragebogen.</w:t>
      </w:r>
    </w:p>
    <w:p>
      <w:r>
        <w:rPr>
          <w:b/>
        </w:rPr>
        <w:t xml:space="preserve">Ergebnis: </w:t>
      </w:r>
      <w:r>
        <w:t>77,3% hatten moderate Kenntnisse zur psychischen Gesundheit, aber nur 12,3% hohe Gesundheitskompetenz; 37,8% positive Wahrnehmungen, 13,7% positive Einstellungen gegenüber Menschen mit psychischen Störungen. Assoziation mit weiblichem Geschlecht (aOR 0,422; p=0,014) und Vorgeschichte psychischer Störungen (aOR 2,485; p=0,012).</w:t>
      </w:r>
    </w:p>
    <w:p>
      <w:r>
        <w:rPr>
          <w:b/>
          <w:sz w:val="19"/>
        </w:rPr>
        <w:t xml:space="preserve">Übertragbarkeit: </w:t>
      </w:r>
      <w:r>
        <w:rPr>
          <w:sz w:val="19"/>
        </w:rPr>
        <w:t>Uganda-Setting; Befund zeigt Implementierungslücke bei Curriculumintegration, nicht auf deutsches System übertragbar</w:t>
      </w:r>
    </w:p>
    <w:p>
      <w:r>
        <w:rPr>
          <w:color w:val="5A7D3A"/>
          <w:sz w:val="18"/>
        </w:rPr>
        <w:t>https://pubmed.ncbi.nlm.nih.gov/42902196/</w:t>
      </w:r>
    </w:p>
    <w:p>
      <w:pPr>
        <w:pStyle w:val="Heading2"/>
      </w:pPr>
      <w:r>
        <w:t>Nurses als Gesundheitskompetenz-Lotsen in der KI-gestützten Triage</w:t>
      </w:r>
    </w:p>
    <w:p>
      <w:r>
        <w:rPr>
          <w:i/>
          <w:color w:val="666666"/>
          <w:sz w:val="18"/>
        </w:rPr>
        <w:t>Luo W et al.  ·  Front Public Health  ·  30.09.2026  ·  PMID 42876618</w:t>
      </w:r>
    </w:p>
    <w:p>
      <w:r>
        <w:t>Perspektivarbeit, die die Rolle von Pflegekräften in digitalen Triage-Systemen analysiert und ein Modell zur Vermittlung zwischen Algorithmen und Patientenverständnis entwickelt.</w:t>
      </w:r>
    </w:p>
    <w:p>
      <w:r>
        <w:rPr>
          <w:b/>
        </w:rPr>
        <w:t xml:space="preserve">Ergebnis: </w:t>
      </w:r>
      <w:r>
        <w:t>Vier Funktionen wurden identifiziert: Interpretation (Verständlichkeit von KI-Output), emotionale Kalibrierung, klinische Verifikation von Empfehlungen und Begleitung durch komplexe Versorgungspfade. Das Modell betont, dass Pflegekräfte nicht Validatoren von Maschinenoutput sein sollten, sondern Vermittler, die Sicherheit und Gesundheitsgleichheit wahren.</w:t>
      </w:r>
    </w:p>
    <w:p>
      <w:r>
        <w:rPr>
          <w:b/>
          <w:sz w:val="19"/>
        </w:rPr>
        <w:t xml:space="preserve">Übertragbarkeit: </w:t>
      </w:r>
      <w:r>
        <w:rPr>
          <w:sz w:val="19"/>
        </w:rPr>
        <w:t>China-Szenario, prinzipiell systemübergreifend relevant; Pflegerolle in Triagenetzwerken vergleichbar</w:t>
      </w:r>
    </w:p>
    <w:p>
      <w:r>
        <w:rPr>
          <w:color w:val="5A7D3A"/>
          <w:sz w:val="18"/>
        </w:rPr>
        <w:t>https://pubmed.ncbi.nlm.nih.gov/42876618/</w:t>
      </w:r>
    </w:p>
    <w:p>
      <w:pPr>
        <w:pStyle w:val="Heading2"/>
      </w:pPr>
      <w:r>
        <w:t>Psychoedukation in der psychiatrischen Pflege: Wachstum und Forschungslücken</w:t>
      </w:r>
    </w:p>
    <w:p>
      <w:r>
        <w:rPr>
          <w:i/>
          <w:color w:val="666666"/>
          <w:sz w:val="18"/>
        </w:rPr>
        <w:t>Durar E et al.  ·  Arch Psychiatr Nurs  ·  27.07.2026  ·  PMID 42863935</w:t>
      </w:r>
    </w:p>
    <w:p>
      <w:r>
        <w:t>Bibliometrische Analyse von 225 Publikationen (1998–2025) zur Psychoedukation in der psychiatrischen Pflege weltweit.</w:t>
      </w:r>
    </w:p>
    <w:p>
      <w:r>
        <w:rPr>
          <w:b/>
        </w:rPr>
        <w:t xml:space="preserve">Ergebnis: </w:t>
      </w:r>
      <w:r>
        <w:t>Jährliche Wachstumsrate 11%; 743 Autoren, durchschnittlich 12,8 Zitate pro Publikation. USA führt mit 22,2% der Publikationen, gefolgt von Türkei. Hauptfindung: Psychoedukation ist etabliert für Schizophrenie, Depression und bipolare Störung, aber Lücken bestehen bei Angehörigenschulung, Selbstmanagement und Programmen für Kinder/Jugendliche.</w:t>
      </w:r>
    </w:p>
    <w:p>
      <w:r>
        <w:rPr>
          <w:b/>
          <w:sz w:val="19"/>
        </w:rPr>
        <w:t xml:space="preserve">Übertragbarkeit: </w:t>
      </w:r>
      <w:r>
        <w:rPr>
          <w:sz w:val="19"/>
        </w:rPr>
        <w:t>Internationale Analyse; empirische Programme liegen vor, aber systematische Evaluierung im deutschsprachigen Raum fehlt</w:t>
      </w:r>
    </w:p>
    <w:p>
      <w:r>
        <w:rPr>
          <w:color w:val="5A7D3A"/>
          <w:sz w:val="18"/>
        </w:rPr>
        <w:t>https://pubmed.ncbi.nlm.nih.gov/42863935/</w:t>
      </w:r>
    </w:p>
    <w:p>
      <w:pPr>
        <w:pStyle w:val="Heading2"/>
      </w:pPr>
      <w:r>
        <w:t>Menstruelle Gesundheitskompetenz: Definitionen und Forschungsbedarf</w:t>
      </w:r>
    </w:p>
    <w:p>
      <w:r>
        <w:rPr>
          <w:i/>
          <w:color w:val="666666"/>
          <w:sz w:val="18"/>
        </w:rPr>
        <w:t>Chéileachair FN et al.  ·  Womens Health (Lond)  ·  07.10.2026  ·  PMID 42842352</w:t>
      </w:r>
    </w:p>
    <w:p>
      <w:r>
        <w:t>Kommentarbeitrag, der Inkonsistenzen in Definitionen und Messung von menstrueller Gesundheitskompetenz analysiert und einen konzeptionellen Rahmen entwickelt.</w:t>
      </w:r>
    </w:p>
    <w:p>
      <w:r>
        <w:rPr>
          <w:b/>
        </w:rPr>
        <w:t xml:space="preserve">Ergebnis: </w:t>
      </w:r>
      <w:r>
        <w:t>Zentrale Befunde: Keine Konsensdefinition für menstruelle Gesundheitskompetenz existiert, obwohl viele Studien Verbesserungen fordern; Lücken bestehen von Menarche bis Menopause; breite Stigmatisierung erschwert Kompetenzentwicklung. Empfehlung: Universelle Definition erforderlich, die strukturelle, individuelle und stigma-bezogene Dimensionen verbindet, um Forschung und Praxis zu leiten.</w:t>
      </w:r>
    </w:p>
    <w:p>
      <w:r>
        <w:rPr>
          <w:b/>
          <w:sz w:val="19"/>
        </w:rPr>
        <w:t xml:space="preserve">Übertragbarkeit: </w:t>
      </w:r>
      <w:r>
        <w:rPr>
          <w:sz w:val="19"/>
        </w:rPr>
        <w:t>Großbritannien-basiert; Konzept und Definitonslücke international relevant, kulturabhängig bei Stigma-Ebene</w:t>
      </w:r>
    </w:p>
    <w:p>
      <w:r>
        <w:rPr>
          <w:color w:val="5A7D3A"/>
          <w:sz w:val="18"/>
        </w:rPr>
        <w:t>https://pubmed.ncbi.nlm.nih.gov/42842352/</w:t>
      </w:r>
    </w:p>
    <w:p>
      <w:pPr>
        <w:pStyle w:val="Heading2"/>
      </w:pPr>
      <w:r>
        <w:t>Digitale Gesundheitskompetenz reduziert psychische Belastung durch besseren Schlaf</w:t>
      </w:r>
    </w:p>
    <w:p>
      <w:r>
        <w:rPr>
          <w:i/>
          <w:color w:val="666666"/>
          <w:sz w:val="18"/>
        </w:rPr>
        <w:t>Wang Z et al.  ·  Front Public Health  ·  21.09.2026  ·  PMID 42835181</w:t>
      </w:r>
    </w:p>
    <w:p>
      <w:r>
        <w:t>Quasiexperimentelle Studie an 407 Studierenden mit Mediationsmodell: digitale Gesundheitskompetenz → Internetabhängigkeit → Schlafqualität → psychische Gesundheit.</w:t>
      </w:r>
    </w:p>
    <w:p>
      <w:r>
        <w:rPr>
          <w:b/>
        </w:rPr>
        <w:t xml:space="preserve">Ergebnis: </w:t>
      </w:r>
      <w:r>
        <w:t>Positive Beziehung zwischen digitaler Gesundheitskompetenz und psychischer Gesundheit nachgewiesen. Indirekter Gesamteffekt über die Kette 0,6304; Internetabhängigkeit und Schlafqualität waren signifikante Mediatoren. Intervention durch Verbesserung digitaler Kompetenz könnte Schlafqualität und psychische Gesundheit verbessern.</w:t>
      </w:r>
    </w:p>
    <w:p>
      <w:r>
        <w:rPr>
          <w:b/>
          <w:sz w:val="19"/>
        </w:rPr>
        <w:t xml:space="preserve">Übertragbarkeit: </w:t>
      </w:r>
      <w:r>
        <w:rPr>
          <w:sz w:val="19"/>
        </w:rPr>
        <w:t>China-Setting, aber Mechanismus (Mediatorenmodell) systemunabhängig; digitale Kompetenz als Interventionsziel relevant</w:t>
      </w:r>
    </w:p>
    <w:p>
      <w:r>
        <w:rPr>
          <w:color w:val="5A7D3A"/>
          <w:sz w:val="18"/>
        </w:rPr>
        <w:t>https://pubmed.ncbi.nlm.nih.gov/42835181/</w:t>
      </w:r>
    </w:p>
    <w:p>
      <w:pPr>
        <w:pStyle w:val="Heading2"/>
      </w:pPr>
      <w:r>
        <w:t>Digitale Gesundheitskompetenz gegen Desinformation: Curriculare Agenda für Universitäten</w:t>
      </w:r>
    </w:p>
    <w:p>
      <w:r>
        <w:rPr>
          <w:i/>
          <w:color w:val="666666"/>
          <w:sz w:val="18"/>
        </w:rPr>
        <w:t>Hassan AM  ·  Front Public Health  ·  18.09.2026  ·  PMID 42827804</w:t>
      </w:r>
    </w:p>
    <w:p>
      <w:r>
        <w:t>Perspektivarbeit zur Verankerung digitaler Gesundheitskompetenz im höheren Bildungswesen Somalias als institutionelle Verantwortung und individuelle Kompetenz gegen Desinformation und KI-Risiken.</w:t>
      </w:r>
    </w:p>
    <w:p>
      <w:r>
        <w:rPr>
          <w:b/>
        </w:rPr>
        <w:t xml:space="preserve">Ergebnis: </w:t>
      </w:r>
      <w:r>
        <w:t>Implementierungsagenda mit fünf Säulen: kritische Informationsappraisal, Resilienz gegen Desinformation, verantwortungsvoller KI-Einsatz, Datenschutz, sichere Eskalation; unterstützt durch Curriculumintegration, institutionelle Informationspfade, lokal relevante Evaluierung und Kapazitätsaufbau bei Lehrenden. Empfehlung: Jenseits von Selbstbericht-Umfragen zu leistungsgestützten Aufgaben und Interventionsevaluierung übergehen.</w:t>
      </w:r>
    </w:p>
    <w:p>
      <w:r>
        <w:rPr>
          <w:b/>
          <w:sz w:val="19"/>
        </w:rPr>
        <w:t xml:space="preserve">Übertragbarkeit: </w:t>
      </w:r>
      <w:r>
        <w:rPr>
          <w:sz w:val="19"/>
        </w:rPr>
        <w:t>Somalia-Kontext schwach übertragbar; aber Rahmen für Curriculum und digitale Äquität prinzipiell relevant</w:t>
      </w:r>
    </w:p>
    <w:p>
      <w:r>
        <w:rPr>
          <w:color w:val="5A7D3A"/>
          <w:sz w:val="18"/>
        </w:rPr>
        <w:t>https://pubmed.ncbi.nlm.nih.gov/42827804/</w:t>
      </w:r>
    </w:p>
    <w:p>
      <w:pPr>
        <w:pStyle w:val="Heading2"/>
      </w:pPr>
      <w:r>
        <w:t>Verständlichkeit von KI-generierten Patienteninformationen: ChatGPT vs. DeepSeek</w:t>
      </w:r>
    </w:p>
    <w:p>
      <w:r>
        <w:rPr>
          <w:i/>
          <w:color w:val="666666"/>
          <w:sz w:val="18"/>
        </w:rPr>
        <w:t>Zhang R et al.  ·  Oral Surg Oral Med Oral Pathol Oral Radiol  ·  07.07.2026  ·  PMID 42823233</w:t>
      </w:r>
    </w:p>
    <w:p>
      <w:r>
        <w:t>Vergleichende Bewertung von Antworten zweier KI-Systeme (ChatGPT-4, DeepSeek-v3) auf 23 häufig gestellte Patientenfragen zu Lichen planus durch Expertenpanels in fünf Dimensionen.</w:t>
      </w:r>
    </w:p>
    <w:p>
      <w:r>
        <w:rPr>
          <w:b/>
        </w:rPr>
        <w:t xml:space="preserve">Ergebnis: </w:t>
      </w:r>
      <w:r>
        <w:t>DeepSeek-v3 überlegen bei Umfassendheit (4,65±0,37 vs. 4,04±0,54; p&lt;0,001), Logik (4,41±0,32 vs. 4,03±0,35; p&lt;0,001) und Fairness (4,34±0,33 vs. 4,03±0,27; p&lt;0,001); ChatGPT-4 besser bei Einfachheit (4,25±0,31 vs. 4,04±0,28; p=0,034). DeepSeek-v3 leicht überlegen bei Genauigkeit (4,49±0,38 vs. 4,22±0,34; p=0,025). Kombinieren beider Modelle könnte Patientenverständnis verbessern.</w:t>
      </w:r>
    </w:p>
    <w:p>
      <w:r>
        <w:rPr>
          <w:b/>
          <w:sz w:val="19"/>
        </w:rPr>
        <w:t xml:space="preserve">Übertragbarkeit: </w:t>
      </w:r>
      <w:r>
        <w:rPr>
          <w:sz w:val="19"/>
        </w:rPr>
        <w:t>Neuseeland-Studie, sprachunabhängiger Vergleich; Befund zu Verständlichkeit systemübergreifend relevant</w:t>
      </w:r>
    </w:p>
    <w:p>
      <w:r>
        <w:rPr>
          <w:color w:val="5A7D3A"/>
          <w:sz w:val="18"/>
        </w:rPr>
        <w:t>https://pubmed.ncbi.nlm.nih.gov/42823233/</w:t>
      </w:r>
    </w:p>
    <w:p>
      <w:pPr>
        <w:pStyle w:val="Heading1"/>
      </w:pPr>
      <w:r>
        <w:t>Aufgenommen am 21.10.2026</w:t>
      </w:r>
    </w:p>
    <w:p>
      <w:pPr>
        <w:pStyle w:val="Heading2"/>
      </w:pPr>
      <w:r>
        <w:t>Ernährungsschulung mit eiweißarmer Diät bremst Nierenerkrankung</w:t>
      </w:r>
    </w:p>
    <w:p>
      <w:r>
        <w:rPr>
          <w:i/>
          <w:color w:val="666666"/>
          <w:sz w:val="18"/>
        </w:rPr>
        <w:t>Cerón-Meza R et al.  ·  Rev Med Chil  ·  Aug. 2026  ·  PMID 42899611</w:t>
      </w:r>
    </w:p>
    <w:p>
      <w:r>
        <w:t>Narrative Übersicht von klinischen Studien (2015–2026) zur Wirkung von Ernährungsedukation und proteinarmer Diät auf Inzidenz und Progression chronischer Nierenerkrankungen in allen Stadien ohne Nierenersatztherapie.</w:t>
      </w:r>
    </w:p>
    <w:p>
      <w:r>
        <w:rPr>
          <w:b/>
        </w:rPr>
        <w:t xml:space="preserve">Ergebnis: </w:t>
      </w:r>
      <w:r>
        <w:t>Interventionen zur proteinarmen Ernährung verzögerten CKD-Progression, besonders in frühen Stadien, durch Reduktion stickstoffhaltiger Abbauprodukte. Jedes zusätzliche Gramm Protein war mit jährlichem GFR-Rückgang assoziiert. Strukturierte Ernährungsberatung mit kontinuierlicher Überwachung führte zu partieller Erhaltung der Nierenfunktion.</w:t>
      </w:r>
    </w:p>
    <w:p>
      <w:r>
        <w:rPr>
          <w:b/>
          <w:sz w:val="19"/>
        </w:rPr>
        <w:t xml:space="preserve">Übertragbarkeit: </w:t>
      </w:r>
      <w:r>
        <w:rPr>
          <w:sz w:val="19"/>
        </w:rPr>
        <w:t>Mexikanische Klinikdaten; Ernährungsberatung und Monitoring sind in deutschem Versorgungskontext etabliert</w:t>
      </w:r>
    </w:p>
    <w:p>
      <w:r>
        <w:rPr>
          <w:color w:val="5A7D3A"/>
          <w:sz w:val="18"/>
        </w:rPr>
        <w:t>https://pubmed.ncbi.nlm.nih.gov/42899611/</w:t>
      </w:r>
    </w:p>
    <w:p>
      <w:pPr>
        <w:pStyle w:val="Heading2"/>
      </w:pPr>
      <w:r>
        <w:t>Gesundheitskompetenz verbessert Lebensqualität bei Leberzirrhose unabhängig von Ernährung</w:t>
      </w:r>
    </w:p>
    <w:p>
      <w:r>
        <w:rPr>
          <w:i/>
          <w:color w:val="666666"/>
          <w:sz w:val="18"/>
        </w:rPr>
        <w:t>Liu Y et al.  ·  Front Public Health  ·  05.10.2026  ·  PMID 42898274</w:t>
      </w:r>
    </w:p>
    <w:p>
      <w:r>
        <w:t>Querschnittstudie an 202 Patienten mit dekompensierter Leberzirrhose zur Assoziation von Health Literacy, Ernährungsstatus und Lebensstilfaktoren mit gesundheitsbezogener Lebensqualität.</w:t>
      </w:r>
    </w:p>
    <w:p>
      <w:r>
        <w:rPr>
          <w:b/>
        </w:rPr>
        <w:t xml:space="preserve">Ergebnis: </w:t>
      </w:r>
      <w:r>
        <w:t>Health Literacy war unabhängig mit Lebensqualität assoziiert und erhöhte die Erklärungskraft des Modells signifikant (R²-Anstieg). Kommunikationsfähigkeit (B = −0,177, p = 0,007), körperliche Aktivität und Schlafqualität waren unabhängige Prädiktoren für die physische und psychische Dimension.</w:t>
      </w:r>
    </w:p>
    <w:p>
      <w:r>
        <w:rPr>
          <w:b/>
          <w:sz w:val="19"/>
        </w:rPr>
        <w:t xml:space="preserve">Übertragbarkeit: </w:t>
      </w:r>
      <w:r>
        <w:rPr>
          <w:sz w:val="19"/>
        </w:rPr>
        <w:t>Chinesische Klinikdaten; Beziehungen zwischen Health Literacy und Selbstmanagement sind systemübergreifend relevant</w:t>
      </w:r>
    </w:p>
    <w:p>
      <w:r>
        <w:rPr>
          <w:color w:val="5A7D3A"/>
          <w:sz w:val="18"/>
        </w:rPr>
        <w:t>https://pubmed.ncbi.nlm.nih.gov/42898274/</w:t>
      </w:r>
    </w:p>
    <w:p>
      <w:pPr>
        <w:pStyle w:val="Heading2"/>
      </w:pPr>
      <w:r>
        <w:t>Digitale Interventionen zur Gesundheitskompetenz in der EU: Mobile Apps und Entscheidungshilfen wirksam</w:t>
      </w:r>
    </w:p>
    <w:p>
      <w:r>
        <w:rPr>
          <w:i/>
          <w:color w:val="666666"/>
          <w:sz w:val="18"/>
        </w:rPr>
        <w:t>Šakare EA et al.  ·  BMC Public Health  ·  24.07.2026  ·  PMID 42897531</w:t>
      </w:r>
    </w:p>
    <w:p>
      <w:r>
        <w:t>Systematische Übersicht von 26 europäischen Studien (2018–2024) zur Wirkung digitaler Kommunikationsmittel auf Health Literacy, Wissen, Selbstwirksamkeit und Gesundheitsstatus.</w:t>
      </w:r>
    </w:p>
    <w:p>
      <w:r>
        <w:rPr>
          <w:b/>
        </w:rPr>
        <w:t xml:space="preserve">Ergebnis: </w:t>
      </w:r>
      <w:r>
        <w:t>Mobile Apps verbesserten Gesundheitsstatus mit andauernden Effekten; Entscheidungshilfen zeigten Potenzial zur Wissensverbesserung. Digitale Lerntools und Multimedia-Interventionen waren weitgehend unwirksam. Multi-Komponenten-Interventionen waren nicht wirksamer als Einzel-Interventionen. Personen mit niedrigerem sozioökonomischem Status profitierten gleichermaßen.</w:t>
      </w:r>
    </w:p>
    <w:p>
      <w:r>
        <w:rPr>
          <w:b/>
          <w:sz w:val="19"/>
        </w:rPr>
        <w:t xml:space="preserve">Übertragbarkeit: </w:t>
      </w:r>
      <w:r>
        <w:rPr>
          <w:sz w:val="19"/>
        </w:rPr>
        <w:t>EU-Daten, direkt auf deutsches Versicherungssystem übertragbar</w:t>
      </w:r>
    </w:p>
    <w:p>
      <w:r>
        <w:rPr>
          <w:color w:val="5A7D3A"/>
          <w:sz w:val="18"/>
        </w:rPr>
        <w:t>https://pubmed.ncbi.nlm.nih.gov/42897531/</w:t>
      </w:r>
    </w:p>
    <w:p>
      <w:pPr>
        <w:pStyle w:val="Heading2"/>
      </w:pPr>
      <w:r>
        <w:t>KI-gestützte Patientenschulung vor Magen-Darm-Operationen senkt Angst und verbessert eHealth-Literacy</w:t>
      </w:r>
    </w:p>
    <w:p>
      <w:r>
        <w:rPr>
          <w:i/>
          <w:color w:val="666666"/>
          <w:sz w:val="18"/>
        </w:rPr>
        <w:t>Liu L et al.  ·  Front Public Health  ·  30.09.2026  ·  PMID 42876704</w:t>
      </w:r>
    </w:p>
    <w:p>
      <w:r>
        <w:t>Protokoll einer randomisierten kontrollierten Studie mit 120 Patienten zur WeChat-basierten, von Expertenwissen kontrollierten KI-Schulungsintervention (3 Monate) gegen Standardberatung vor gastroenterologischen Eingriffen.</w:t>
      </w:r>
    </w:p>
    <w:p>
      <w:r>
        <w:rPr>
          <w:b/>
        </w:rPr>
        <w:t xml:space="preserve">Ergebnis: </w:t>
      </w:r>
      <w:r>
        <w:t>Primärer Endpunkt: Angst (Hospital Anxiety and Depression Scale-Angst). Sekundäre Endpunkte: Depression, wahrgenommene soziale Unterstützung, Selbstwirksamkeit, gesundheitsbezogene Lebensqualität und eHealth-Literacy. Outcome-Messung zu Baseline, Entlassung, 3 und 6 Monaten; Analyse nach Intention-to-treat.</w:t>
      </w:r>
    </w:p>
    <w:p>
      <w:r>
        <w:rPr>
          <w:b/>
          <w:sz w:val="19"/>
        </w:rPr>
        <w:t xml:space="preserve">Übertragbarkeit: </w:t>
      </w:r>
      <w:r>
        <w:rPr>
          <w:sz w:val="19"/>
        </w:rPr>
        <w:t>China – Patientenedukation digital; systemgebunden an WeChat-Infrastruktur; Konzept der Expertenkontrolle auf deutsche Plattformen adaptierbar</w:t>
      </w:r>
    </w:p>
    <w:p>
      <w:r>
        <w:rPr>
          <w:color w:val="5A7D3A"/>
          <w:sz w:val="18"/>
        </w:rPr>
        <w:t>https://pubmed.ncbi.nlm.nih.gov/42876704/</w:t>
      </w:r>
    </w:p>
    <w:p>
      <w:pPr>
        <w:pStyle w:val="Heading2"/>
      </w:pPr>
      <w:r>
        <w:t>Vorhersagemodell identifiziert Bevölkerungsgruppen mit niedriger Gesundheitskompetenz</w:t>
      </w:r>
    </w:p>
    <w:p>
      <w:r>
        <w:rPr>
          <w:i/>
          <w:color w:val="666666"/>
          <w:sz w:val="18"/>
        </w:rPr>
        <w:t>Zhang X et al.  ·  JMIR Med Inform  ·  13.10.2026  ·  PMID 42868277</w:t>
      </w:r>
    </w:p>
    <w:p>
      <w:r>
        <w:t>Entwicklung und externe Validierung eines Nomogramm-Modells zur Vorhersage niedriger Health Literacy in einer Bevölkerung von 56.340 Einwohnern (2023) und 2024-Validierungsdaten aus der chinesischen Provinz Zhejiang.</w:t>
      </w:r>
    </w:p>
    <w:p>
      <w:r>
        <w:rPr>
          <w:b/>
        </w:rPr>
        <w:t xml:space="preserve">Ergebnis: </w:t>
      </w:r>
      <w:r>
        <w:t>Nomogramm-Modelle zeigten robuste Stabilität: AUC 0,821 (intern) und 0,814 (extern validiert); Sensitivität und Spezifität &gt;60 % bzw. &gt;75 %. Fünf Kerndeterminanten identifiziert: Bildungsstand, Alter, Haushaltseinkommen, Rauchen und Beruf. Positiver und negativer prädiktiver Wert beide &gt;60 %.</w:t>
      </w:r>
    </w:p>
    <w:p>
      <w:r>
        <w:rPr>
          <w:b/>
          <w:sz w:val="19"/>
        </w:rPr>
        <w:t xml:space="preserve">Übertragbarkeit: </w:t>
      </w:r>
      <w:r>
        <w:rPr>
          <w:sz w:val="19"/>
        </w:rPr>
        <w:t>China – Faktor-Struktur (Bildung, Einkommen, Alter) international vergleichbar; deutsches System erfordert Validierung</w:t>
      </w:r>
    </w:p>
    <w:p>
      <w:r>
        <w:rPr>
          <w:color w:val="5A7D3A"/>
          <w:sz w:val="18"/>
        </w:rPr>
        <w:t>https://pubmed.ncbi.nlm.nih.gov/42868277/</w:t>
      </w:r>
    </w:p>
    <w:p>
      <w:pPr>
        <w:pStyle w:val="Heading2"/>
      </w:pPr>
      <w:r>
        <w:t>Therapeutische Patientenschulung stärkt Autonomie bei Borderline-Persönlichkeitsstörung</w:t>
      </w:r>
    </w:p>
    <w:p>
      <w:r>
        <w:rPr>
          <w:i/>
          <w:color w:val="666666"/>
          <w:sz w:val="18"/>
        </w:rPr>
        <w:t>Lefort-Picard M et al.  ·  Soins Psychiatr  ·  06.07.2026  ·  PMID 42476710</w:t>
      </w:r>
    </w:p>
    <w:p>
      <w:r>
        <w:t>Fünfjähriges Patientenbildungsprogramm (Programme d'Éducation Thérapeutique) am Centre Hospitalier du Rouvray für Personen mit Borderline-Persönlichkeitsstörung, basierend auf integrativer therapeutischer Herangehensweise.</w:t>
      </w:r>
    </w:p>
    <w:p>
      <w:r>
        <w:rPr>
          <w:b/>
        </w:rPr>
        <w:t xml:space="preserve">Ergebnis: </w:t>
      </w:r>
      <w:r>
        <w:t>Das Programm zielt auf Stärkung innerer Ressourcen und Autonomie zur Erleichterung der Reintegration in soziales, emotionales und berufliches Leben ab. Kernfaktoren: integrativer therapeutischer Ansatz, Fokus auf Empowerment und Selbstmanagement, langfristige Betreuung als Kontinuität.</w:t>
      </w:r>
    </w:p>
    <w:p>
      <w:r>
        <w:rPr>
          <w:b/>
          <w:sz w:val="19"/>
        </w:rPr>
        <w:t xml:space="preserve">Übertragbarkeit: </w:t>
      </w:r>
      <w:r>
        <w:rPr>
          <w:sz w:val="19"/>
        </w:rPr>
        <w:t>Frankreich – Psychische Erkrankung; ETP-Modell mit deutscher Tradition; Kernprinzipien auf deutsches System übertragbar</w:t>
      </w:r>
    </w:p>
    <w:p>
      <w:r>
        <w:rPr>
          <w:color w:val="5A7D3A"/>
          <w:sz w:val="18"/>
        </w:rPr>
        <w:t>https://pubmed.ncbi.nlm.nih.gov/42476710/</w:t>
      </w:r>
    </w:p>
    <w:p>
      <w:pPr>
        <w:pStyle w:val="Heading1"/>
      </w:pPr>
      <w:r>
        <w:t>Aufgenommen am 20.10.2026</w:t>
      </w:r>
    </w:p>
    <w:p>
      <w:pPr>
        <w:pStyle w:val="Heading2"/>
      </w:pPr>
      <w:r>
        <w:t>Risikokommunikation zu Elektromagnetfeldern: Information reduziert Angst bei vormals stark Besorgten</w:t>
      </w:r>
    </w:p>
    <w:p>
      <w:r>
        <w:rPr>
          <w:i/>
          <w:color w:val="666666"/>
          <w:sz w:val="18"/>
        </w:rPr>
        <w:t>Wen R et al.  ·  Bioelectromagnetics  ·  Okt. 2026  ·  PMID 42895297</w:t>
      </w:r>
    </w:p>
    <w:p>
      <w:r>
        <w:t>Studie zu psychologischen Faktoren bei Angst vor Radiofrequenzfeldern und Effekt von Informationen auf diese Angst; Mehrebenen-Modellierung zur Analyse von Zusammenhängen, Interventionsanalyse zur Prüfung der Wirkung von Informationsbereitstellung.</w:t>
      </w:r>
    </w:p>
    <w:p>
      <w:r>
        <w:rPr>
          <w:b/>
        </w:rPr>
        <w:t xml:space="preserve">Ergebnis: </w:t>
      </w:r>
      <w:r>
        <w:t>Subjektive Expositionswahrnehmung und Vertrauen in diese Wahrnehmung waren unabhängig mit Angst assoziiert. Höhere Sensibilisierung korrelierte mit stärkerer Angst, höheres Faktenwissen dagegen mit geringerer Angst. Informationen erhöhten Angst insgesamt, reduzierten sie jedoch bei initial hoher Besorgnis und beeinflussten Wahrnehmungen, Sensibilisierung und Wissen. Befund zeigt komplexe, nicht-lineare Wirkung von Information auf Angst.</w:t>
      </w:r>
    </w:p>
    <w:p>
      <w:r>
        <w:rPr>
          <w:b/>
          <w:sz w:val="19"/>
        </w:rPr>
        <w:t xml:space="preserve">Übertragbarkeit: </w:t>
      </w:r>
      <w:r>
        <w:rPr>
          <w:sz w:val="19"/>
        </w:rPr>
        <w:t>Japan; Befund zu komplexem Zusammenhang zwischen Wissen und Angst universell relevant</w:t>
      </w:r>
    </w:p>
    <w:p>
      <w:r>
        <w:rPr>
          <w:color w:val="5A7D3A"/>
          <w:sz w:val="18"/>
        </w:rPr>
        <w:t>https://pubmed.ncbi.nlm.nih.gov/42895297/</w:t>
      </w:r>
    </w:p>
    <w:p>
      <w:pPr>
        <w:pStyle w:val="Heading2"/>
      </w:pPr>
      <w:r>
        <w:t>Ernährungskompetenz fördert gesunde Essensgewohnheiten unabhängig von Bildungsstand</w:t>
      </w:r>
    </w:p>
    <w:p>
      <w:r>
        <w:rPr>
          <w:i/>
          <w:color w:val="666666"/>
          <w:sz w:val="18"/>
        </w:rPr>
        <w:t>Jáuregui A et al.  ·  J Hum Nutr Diet  ·  Okt. 2026  ·  PMID 42894392</w:t>
      </w:r>
    </w:p>
    <w:p>
      <w:r>
        <w:t>Studie mit 12.796 Erwachsenen aus Mexiko und USA, die den Zusammenhang zwischen funktionaler Ernährungskompetenz (gemessen an Verständnis von Nährwertkennzeichnungen) und gesundem Essverhalten untersucht.</w:t>
      </w:r>
    </w:p>
    <w:p>
      <w:r>
        <w:rPr>
          <w:b/>
        </w:rPr>
        <w:t xml:space="preserve">Ergebnis: </w:t>
      </w:r>
      <w:r>
        <w:t>Höhere Ernährungskompetenz war über alle Bevölkerungsgruppen hinweg mit verstärkten Bemühungen um gesunde Ernährung assoziiert (adjustierte Odds Ratios 1,07–2,73); Effekte waren bei mexikanischen Amerikanern und Mexikanern stärker (p&lt;0,008). Selbst mit niedrigerer Kompetenz zeigten 50–80% der Befragten Anstrengungen für bessere Ernährung, gegenüber nur 37–65% der weißen US-Amerikaner trotz höherer Kompetenz – Gesundheitskompetenz allein erklärt Verhalten nicht vollständig.</w:t>
      </w:r>
    </w:p>
    <w:p>
      <w:r>
        <w:rPr>
          <w:b/>
          <w:sz w:val="19"/>
        </w:rPr>
        <w:t xml:space="preserve">Übertragbarkeit: </w:t>
      </w:r>
      <w:r>
        <w:rPr>
          <w:sz w:val="19"/>
        </w:rPr>
        <w:t>Querschnittsstudie; Effekt der Nährwertkennzeichnung systemabhängig, aber Befund zu Kompetenz-Verhalten-Lücke universell übertragbar</w:t>
      </w:r>
    </w:p>
    <w:p>
      <w:r>
        <w:rPr>
          <w:color w:val="5A7D3A"/>
          <w:sz w:val="18"/>
        </w:rPr>
        <w:t>https://pubmed.ncbi.nlm.nih.gov/42894392/</w:t>
      </w:r>
    </w:p>
    <w:p>
      <w:pPr>
        <w:pStyle w:val="Heading2"/>
      </w:pPr>
      <w:r>
        <w:t>Sprachgesteuertes Edukations-Tool verbessert Wissen und Selbstmanagement nach Herzintervention im Alter</w:t>
      </w:r>
    </w:p>
    <w:p>
      <w:r>
        <w:rPr>
          <w:i/>
          <w:color w:val="666666"/>
          <w:sz w:val="18"/>
        </w:rPr>
        <w:t>Sun T et al.  ·  J Cardiothorac Surg  ·  22.07.2026  ·  PMID 42894236</w:t>
      </w:r>
    </w:p>
    <w:p>
      <w:r>
        <w:t>Cluster-randomisierte kontrollierte Studie mit 96 älteren Herzpatienten (49 Intervention, 47 Kontrolle): Vergleich einer sprachgesteuerten interaktiven Edukations-App gegenüber gedruckten Materialien.</w:t>
      </w:r>
    </w:p>
    <w:p>
      <w:r>
        <w:rPr>
          <w:b/>
        </w:rPr>
        <w:t xml:space="preserve">Ergebnis: </w:t>
      </w:r>
      <w:r>
        <w:t>Signifikante Interaktionseffekte für Herz-Erkrankungswissen (F=9,026; p&lt;0,001) und Selbstmanagement-Verhalten (F=11,607; p&lt;0,001). Nach 1, 3 und 6 Monaten zeigte die Interventionsgruppe signifikant höhere Wissens- und Verhaltensscores als Kontrolle (F=195,188; p&lt;0,001). Akzeptanzrating sehr hoch (96,04±2,61 Punkte). Wissen sank in beiden Gruppen über Zeit, aber Interventionsgruppe blieb deutlich höher.</w:t>
      </w:r>
    </w:p>
    <w:p>
      <w:r>
        <w:rPr>
          <w:b/>
          <w:sz w:val="19"/>
        </w:rPr>
        <w:t xml:space="preserve">Übertragbarkeit: </w:t>
      </w:r>
      <w:r>
        <w:rPr>
          <w:sz w:val="19"/>
        </w:rPr>
        <w:t>China; vergleichbare Altersstruktur und kardiovaskuläre Versorgung, aber App-Evaluation techniklastig</w:t>
      </w:r>
    </w:p>
    <w:p>
      <w:r>
        <w:rPr>
          <w:color w:val="5A7D3A"/>
          <w:sz w:val="18"/>
        </w:rPr>
        <w:t>https://pubmed.ncbi.nlm.nih.gov/42894236/</w:t>
      </w:r>
    </w:p>
    <w:p>
      <w:pPr>
        <w:pStyle w:val="Heading2"/>
      </w:pPr>
      <w:r>
        <w:t>Health-Literacy-Skala für psychisch Erkrankte in Brasilien validiert: Gute innere Konsistenz und Konstruktvalidität</w:t>
      </w:r>
    </w:p>
    <w:p>
      <w:r>
        <w:rPr>
          <w:i/>
          <w:color w:val="666666"/>
          <w:sz w:val="18"/>
        </w:rPr>
        <w:t>Barbosa MR et al.  ·  Rev Assoc Med Bras (1992)  ·  12.10.2026  ·  PMID 42879581</w:t>
      </w:r>
    </w:p>
    <w:p>
      <w:r>
        <w:t>Psychometrische Validierungsstudie der 14-Item Health Literacy Scale an 444 klinisch stabilen Patienten mit chronischen psychischen Störungen in Brasilien; Prüfung von Reliabilität, faktorieller Struktur und Divergenzvalidität.</w:t>
      </w:r>
    </w:p>
    <w:p>
      <w:r>
        <w:rPr>
          <w:b/>
        </w:rPr>
        <w:t xml:space="preserve">Ergebnis: </w:t>
      </w:r>
      <w:r>
        <w:t>Cronbachs Alpha 0,83 (95%-KI 0,78–0,88), McDonald-Omega 0,75 (95%-KI 0,68–0,83). Akzeptable Fit-Indizes: CFI 0,938, TLI 0,923, NFI 0,904. Divergenzvalidität bestätigt durch schwache Korrelationen (r&lt;0,300) mit Unterstützungsskala. Instrument zeigt adequates Profil zur Erfassung von Gesundheitskompetenz in drei Dimensionen (funktional, kommunikativ, kritisch) bei psychisch Erkrankten.</w:t>
      </w:r>
    </w:p>
    <w:p>
      <w:r>
        <w:rPr>
          <w:b/>
          <w:sz w:val="19"/>
        </w:rPr>
        <w:t xml:space="preserve">Übertragbarkeit: </w:t>
      </w:r>
      <w:r>
        <w:rPr>
          <w:sz w:val="19"/>
        </w:rPr>
        <w:t>Brasilien; psychologische Konstrukte kulturübergreifend, aber deutschsprachige Validierung erforderlich</w:t>
      </w:r>
    </w:p>
    <w:p>
      <w:r>
        <w:rPr>
          <w:color w:val="5A7D3A"/>
          <w:sz w:val="18"/>
        </w:rPr>
        <w:t>https://pubmed.ncbi.nlm.nih.gov/42879581/</w:t>
      </w:r>
    </w:p>
    <w:p>
      <w:pPr>
        <w:pStyle w:val="Heading2"/>
      </w:pPr>
      <w:r>
        <w:t>HIV-Prävention in Schulen: Community-Engagement-Ansatz erreicht 98% Testakzeptanz und senkt Stigma</w:t>
      </w:r>
    </w:p>
    <w:p>
      <w:r>
        <w:rPr>
          <w:i/>
          <w:color w:val="666666"/>
          <w:sz w:val="18"/>
        </w:rPr>
        <w:t>Beloumou Angong OEG et al.  ·  J Int Assoc Provid AIDS Care  ·  08.10.2026  ·  PMID 42849053</w:t>
      </w:r>
    </w:p>
    <w:p>
      <w:r>
        <w:t>Mixed-Methods-Studie 2019–2023 mit 1.203 Schülern und Lehrern aus 45 Orten in Kamerun; Einsatz des Risk Communication and Community Engagement (RCCE)-Rahmens zur HIV-Aufklärung mit Testteilnahme.</w:t>
      </w:r>
    </w:p>
    <w:p>
      <w:r>
        <w:rPr>
          <w:b/>
        </w:rPr>
        <w:t xml:space="preserve">Ergebnis: </w:t>
      </w:r>
      <w:r>
        <w:t>HIV-Test-Akzeptanzrate 98%, regional jedoch unterschiedlich (z. B. 88,9% in Fernen Norden; p&lt;0,0001). HIV-Seroprävalenz 1,4% (95%-KI 0,9–2,3%), höher in ländlichen Gebieten (2,6% vs. urban 0,9%; adjustierte OR 3,0; p=0,032). Höchste Seroprävalenz in der Altersgruppe 30–39 Jahre (6,7%; p=0,0004), persistent nach multivariater Analyse (p=0,003). RCCE-Ansatz förderte starke Community-Beteiligung und mediale Verbreitung evidenzbasierter Information; Befund unterstreicht Bedeutung lokalisierter Kommunikationsstrategien jenseits von Schulung allein.</w:t>
      </w:r>
    </w:p>
    <w:p>
      <w:r>
        <w:rPr>
          <w:b/>
          <w:sz w:val="19"/>
        </w:rPr>
        <w:t xml:space="preserve">Übertragbarkeit: </w:t>
      </w:r>
      <w:r>
        <w:rPr>
          <w:sz w:val="19"/>
        </w:rPr>
        <w:t>Kamerun (Subsahara), Ressourcenlimitierung; Befund zu Kommunikations-Effektivität übertragbar</w:t>
      </w:r>
    </w:p>
    <w:p>
      <w:r>
        <w:rPr>
          <w:color w:val="5A7D3A"/>
          <w:sz w:val="18"/>
        </w:rPr>
        <w:t>https://pubmed.ncbi.nlm.nih.gov/42849053/</w:t>
      </w:r>
    </w:p>
    <w:p>
      <w:pPr>
        <w:pStyle w:val="Heading2"/>
      </w:pPr>
      <w:r>
        <w:t>YouTube-Epilepsie-Videos: Nur 4,5% vermitteln korrekte Behandlungsinformation patientengerecht</w:t>
      </w:r>
    </w:p>
    <w:p>
      <w:r>
        <w:rPr>
          <w:i/>
          <w:color w:val="666666"/>
          <w:sz w:val="18"/>
        </w:rPr>
        <w:t>Elliott TS et al.  ·  JMIR Infodemiology  ·  30.09.2026  ·  PMID 42817079</w:t>
      </w:r>
    </w:p>
    <w:p>
      <w:r>
        <w:t>Analyse von 200 YouTube-Videos zu Anfallsclustern und Rettungsmedikation; Bewertung der Genauigkeit von Anfallsdefinition, FDA-genehmigter Behandlung und korrekter Medikamentendokumentation durch Expertenbewertung.</w:t>
      </w:r>
    </w:p>
    <w:p>
      <w:r>
        <w:rPr>
          <w:b/>
        </w:rPr>
        <w:t xml:space="preserve">Ergebnis: </w:t>
      </w:r>
      <w:r>
        <w:t>Nur 19,5% definierten Anfallscluster korrekt; 37,0% empfahlen FDA-genehmigte Rettungsmedikation, 37,5% nannten gar keine Therapie; 26,5% demonstrierten Medikamentengabe korrekt; nur 4,5% erfüllten alle Kriterien. Suche nach Handelsnamen erbrachte mehr relevante Videos als nach Fachbegriffen. Massive Informationslücke: 80,5% der Videos waren unvollständig oder fehlerhaft.</w:t>
      </w:r>
    </w:p>
    <w:p>
      <w:r>
        <w:rPr>
          <w:b/>
          <w:sz w:val="19"/>
        </w:rPr>
        <w:t xml:space="preserve">Übertragbarkeit: </w:t>
      </w:r>
      <w:r>
        <w:rPr>
          <w:sz w:val="19"/>
        </w:rPr>
        <w:t>USA, aber Befund zu Qualitätsdefiziten in Patient:innen-Videos universell übertragbar</w:t>
      </w:r>
    </w:p>
    <w:p>
      <w:r>
        <w:rPr>
          <w:color w:val="5A7D3A"/>
          <w:sz w:val="18"/>
        </w:rPr>
        <w:t>https://pubmed.ncbi.nlm.nih.gov/42817079/</w:t>
      </w:r>
    </w:p>
    <w:p>
      <w:pPr>
        <w:pStyle w:val="Heading1"/>
      </w:pPr>
      <w:r>
        <w:t>Aufgenommen am 19.10.2026</w:t>
      </w:r>
    </w:p>
    <w:p>
      <w:pPr>
        <w:pStyle w:val="Heading2"/>
      </w:pPr>
      <w:r>
        <w:t>Was Frauen mit Endometriose wissen müssen: Informationsbedarf und Lücken</w:t>
      </w:r>
    </w:p>
    <w:p>
      <w:r>
        <w:rPr>
          <w:i/>
          <w:color w:val="666666"/>
          <w:sz w:val="18"/>
        </w:rPr>
        <w:t>Senyel D et al.  ·  Womens Health (Lond)  ·  18.10.2026  ·  PMID 42893505</w:t>
      </w:r>
    </w:p>
    <w:p>
      <w:r>
        <w:t>Querschnittstudie (Mixed Methods) mit 265 australischen Frauen ≥18 Jahre mit diagnostizierter oder vermuteter Endometriose zu ihren Informationsbedürfnissen.</w:t>
      </w:r>
    </w:p>
    <w:p>
      <w:r>
        <w:rPr>
          <w:b/>
        </w:rPr>
        <w:t xml:space="preserve">Ergebnis: </w:t>
      </w:r>
      <w:r>
        <w:t>Stärkster Informationsbedarf zu: Komorbiditäten (76,98 % Zustimmung, n=204/265), spezialisierte Endometriose-Kliniken (75,85 %, n=179/236), Umgang mit Ablehnungserfahrungen durch Fachpersonen (75,54 %, n=176/233). Offen genannte Lücken: Pathogenese, alternative Therapien, Unterschiede zwischen öffentlichem und privatem Gesundheitswesen, Selbstvertretung. Unzureichende Unterstützung bei Entscheidungsfindung identifiziert.</w:t>
      </w:r>
    </w:p>
    <w:p>
      <w:r>
        <w:rPr>
          <w:b/>
          <w:sz w:val="19"/>
        </w:rPr>
        <w:t xml:space="preserve">Übertragbarkeit: </w:t>
      </w:r>
      <w:r>
        <w:rPr>
          <w:sz w:val="19"/>
        </w:rPr>
        <w:t>Australien vergleichbar Deutschland: Befunde zeigen Versorgungslücken und Handlungsbedarf für patientenzentrierte Informationsentwicklung.</w:t>
      </w:r>
    </w:p>
    <w:p>
      <w:r>
        <w:rPr>
          <w:color w:val="5A7D3A"/>
          <w:sz w:val="18"/>
        </w:rPr>
        <w:t>https://pubmed.ncbi.nlm.nih.gov/42893505/</w:t>
      </w:r>
    </w:p>
    <w:p>
      <w:pPr>
        <w:pStyle w:val="Heading2"/>
      </w:pPr>
      <w:r>
        <w:t>Geringe Gesundheitskompetenz bei chronischen Erkrankungen in Grönland: Handlungsbedarf für Gesundheitssystem</w:t>
      </w:r>
    </w:p>
    <w:p>
      <w:r>
        <w:rPr>
          <w:i/>
          <w:color w:val="666666"/>
          <w:sz w:val="18"/>
        </w:rPr>
        <w:t>Kjær F et al.  ·  Int J Circumpolar Health  ·  31.12.2026  ·  PMID 42891930</w:t>
      </w:r>
    </w:p>
    <w:p>
      <w:r>
        <w:t>Querschnittstudie mit 230 Personen mit chronischen Erkrankungen (Diabetes, COPD, Hypertonie, Adipositas, Asthma) in Grönland, die mit HLS19-Q12-Fragebogen (Kalaallisut und Dänisch) die Gesundheitskompetenz ermittelte.</w:t>
      </w:r>
    </w:p>
    <w:p>
      <w:r>
        <w:rPr>
          <w:b/>
        </w:rPr>
        <w:t xml:space="preserve">Ergebnis: </w:t>
      </w:r>
      <w:r>
        <w:t>82,2 % hatten unzureichende oder problematische Gesundheitskompetenz (32,2 % unzureichend, 50,0 % problematisch, 12,4 % ausreichend, 5,4 % hervorragend). Kalaallisut-Version zeigte gute interne Konsistenz (Cronbachs Alpha 0,88; 95%-KI: 0,78–0,93) und Test-Retest-Reliabilität (ICC 0,86; 95%-KI: 0,71–0,94). Dies unterstreicht hohen Interventionsbedarf.</w:t>
      </w:r>
    </w:p>
    <w:p>
      <w:r>
        <w:rPr>
          <w:b/>
          <w:sz w:val="19"/>
        </w:rPr>
        <w:t xml:space="preserve">Übertragbarkeit: </w:t>
      </w:r>
      <w:r>
        <w:rPr>
          <w:sz w:val="19"/>
        </w:rPr>
        <w:t>Grönland, vergleichbare nordeuropäische Sozialversicherung; Befunde für indigene Bevölkerungen weltweit relevant.</w:t>
      </w:r>
    </w:p>
    <w:p>
      <w:r>
        <w:rPr>
          <w:color w:val="5A7D3A"/>
          <w:sz w:val="18"/>
        </w:rPr>
        <w:t>https://pubmed.ncbi.nlm.nih.gov/42891930/</w:t>
      </w:r>
    </w:p>
    <w:p>
      <w:pPr>
        <w:pStyle w:val="Heading2"/>
      </w:pPr>
      <w:r>
        <w:t>Niedriges Digital Health Literacy erhöht Risiko für problematische Social-Media-Nutzung</w:t>
      </w:r>
    </w:p>
    <w:p>
      <w:r>
        <w:rPr>
          <w:i/>
          <w:color w:val="666666"/>
          <w:sz w:val="18"/>
        </w:rPr>
        <w:t>Shahat KA  ·  Front Public Health  ·  02.10.2026  ·  PMID 42890596</w:t>
      </w:r>
    </w:p>
    <w:p>
      <w:r>
        <w:t>Querschnittstudie mit 330 saudischen Schülern (13–18 Jahre, 170 männlich, 160 weiblich) zu Zusammenhang zwischen Digital Health Literacy (DHLI), problematischer Social-Media-Nutzung (Bergen Scale) und psychischer Belastung (DASS-21).</w:t>
      </w:r>
    </w:p>
    <w:p>
      <w:r>
        <w:rPr>
          <w:b/>
        </w:rPr>
        <w:t xml:space="preserve">Ergebnis: </w:t>
      </w:r>
      <w:r>
        <w:t>Prävalenz problematischer Social-Media-Nutzung 34,8 % (95%-KI: 29,7–40,2 %), höher bei Mädchen (41,9 %) als Jungen (28,2 %, p=0,009). Niedriges Digital Health Literacy unabhängig mit problematischer Nutzung assoziiert (aOR 2,79; 95%-KI: 1,70–4,58; p&lt;0,001). Problematische Nutzer hatten höhere Depression (14,1±5,5 vs. 8,6±4,2; p&lt;0,001), Angst (12,7±5,0 vs. 7,8±3,9; p&lt;0,001) und Stress (15,5±5,7 vs. 10,0±4,6; p&lt;0,001).</w:t>
      </w:r>
    </w:p>
    <w:p>
      <w:r>
        <w:rPr>
          <w:b/>
          <w:sz w:val="19"/>
        </w:rPr>
        <w:t xml:space="preserve">Übertragbarkeit: </w:t>
      </w:r>
      <w:r>
        <w:rPr>
          <w:sz w:val="19"/>
        </w:rPr>
        <w:t>Saudi-Arabien: Befunde zur Rolle von Digital Health Literacy bei Jugendlichen; Schulinterventionen sollten Schwerpunkt sein.</w:t>
      </w:r>
    </w:p>
    <w:p>
      <w:r>
        <w:rPr>
          <w:color w:val="5A7D3A"/>
          <w:sz w:val="18"/>
        </w:rPr>
        <w:t>https://pubmed.ncbi.nlm.nih.gov/42890596/</w:t>
      </w:r>
    </w:p>
    <w:p>
      <w:pPr>
        <w:pStyle w:val="Heading2"/>
      </w:pPr>
      <w:r>
        <w:t>Messinstrumente für Planetare Gesundheitskompetenz: Qualitätsmängel und Forschungslücken</w:t>
      </w:r>
    </w:p>
    <w:p>
      <w:r>
        <w:rPr>
          <w:i/>
          <w:color w:val="666666"/>
          <w:sz w:val="18"/>
        </w:rPr>
        <w:t>Reismann L et al.  ·  Health Qual Life Outcomes  ·  16.10.2026  ·  PMID 42888415</w:t>
      </w:r>
    </w:p>
    <w:p>
      <w:r>
        <w:t>Systematische Übersicht nach COSMIN-Kriterien über vier Studien zu drei Instrumenten (CCHLS, CCDL, SFLS), die Umwelt-Gesundheits-Literalität messen.</w:t>
      </w:r>
    </w:p>
    <w:p>
      <w:r>
        <w:rPr>
          <w:b/>
        </w:rPr>
        <w:t xml:space="preserve">Ergebnis: </w:t>
      </w:r>
      <w:r>
        <w:t>Sustainable Food Literacy Scale zeigte beste Ergebnisse mit sehr guter Evidenzqualität im Original, türkische Adaptation hatte niedrige methodische Qualität. Alle Instrumente zeigten niedrige oder sehr niedrige Evidenz für Entwicklung und Inhaltsvalidität. Kerndefizite: unklare Konstruktdefinition, geringe Einbeziehung von Zielgruppen in Entwicklung, Fokus auf Wissen statt komplexer Health Literacy.</w:t>
      </w:r>
    </w:p>
    <w:p>
      <w:r>
        <w:rPr>
          <w:b/>
          <w:sz w:val="19"/>
        </w:rPr>
        <w:t xml:space="preserve">Übertragbarkeit: </w:t>
      </w:r>
      <w:r>
        <w:rPr>
          <w:sz w:val="19"/>
        </w:rPr>
        <w:t>Deutschland und Europa: Befunde zeigen Standardisierungsbedarf für Umwelt-Gesundheits-Kompetenzmessungen.</w:t>
      </w:r>
    </w:p>
    <w:p>
      <w:r>
        <w:rPr>
          <w:color w:val="5A7D3A"/>
          <w:sz w:val="18"/>
        </w:rPr>
        <w:t>https://pubmed.ncbi.nlm.nih.gov/42888415/</w:t>
      </w:r>
    </w:p>
    <w:p>
      <w:pPr>
        <w:pStyle w:val="Heading2"/>
      </w:pPr>
      <w:r>
        <w:t>Wie junge Erwachsene Online-Ernährungsinformation bewerten: Kritische Kriterien und Grenzen</w:t>
      </w:r>
    </w:p>
    <w:p>
      <w:r>
        <w:rPr>
          <w:i/>
          <w:color w:val="666666"/>
          <w:sz w:val="18"/>
        </w:rPr>
        <w:t>Rozmiarek M  ·  Nutrients  ·  25.09.2026  ·  PMID 42884616</w:t>
      </w:r>
    </w:p>
    <w:p>
      <w:r>
        <w:t>Qualitative Fokusgruppenstudie mit 17 Tourismus- und Freizeitstudierenden (9 Frauen, 8 Männer, 21–23 Jahre) zu Wahrnehmung, Bewertung und kritischem Urteil über Online-Ernährungsinformation.</w:t>
      </w:r>
    </w:p>
    <w:p>
      <w:r>
        <w:rPr>
          <w:b/>
        </w:rPr>
        <w:t xml:space="preserve">Ergebnis: </w:t>
      </w:r>
      <w:r>
        <w:t>Vier Hauptthemen identifiziert: (1) Online-Information wahrgenommen als zugänglich und einflussreich, aber verbunden mit Informationsüberfluss, widersprüchlichen Empfehlungen und vereinfachten Erklärungen; (2) Bewertung nutzte Kriterien: Quellenexpertise, Konsistenz über Quellen hinweg, realistische Erwartungen, Erklärungsqualität, soziales Feedback; (3) Social-Media-Influencer als Inspirationsquelle, professionelle Quellen für kritische Entscheidungen; (4) Hochschulausbildung unterstützte kritisches Denken, aber Grenzen der Ernährungsexpertise erkannt.</w:t>
      </w:r>
    </w:p>
    <w:p>
      <w:r>
        <w:rPr>
          <w:b/>
          <w:sz w:val="19"/>
        </w:rPr>
        <w:t xml:space="preserve">Übertragbarkeit: </w:t>
      </w:r>
      <w:r>
        <w:rPr>
          <w:sz w:val="19"/>
        </w:rPr>
        <w:t>Polen und Deutschland: Befunde zeigen Notwendigkeit, Digital Nutrition Literacy in Hochschul-Curricula zu integrieren.</w:t>
      </w:r>
    </w:p>
    <w:p>
      <w:r>
        <w:rPr>
          <w:color w:val="5A7D3A"/>
          <w:sz w:val="18"/>
        </w:rPr>
        <w:t>https://pubmed.ncbi.nlm.nih.gov/42884616/</w:t>
      </w:r>
    </w:p>
    <w:p>
      <w:pPr>
        <w:pStyle w:val="Heading2"/>
      </w:pPr>
      <w:r>
        <w:t>Therapeutische Patientenedukation verbessert Therapieadhärenz und Selbstmanagement bei Tuberkulose</w:t>
      </w:r>
    </w:p>
    <w:p>
      <w:r>
        <w:rPr>
          <w:i/>
          <w:color w:val="666666"/>
          <w:sz w:val="18"/>
        </w:rPr>
        <w:t>Perriot J et al.  ·  Rev Med Liege  ·  Okt. 2026  ·  PMID 42861535</w:t>
      </w:r>
    </w:p>
    <w:p>
      <w:r>
        <w:t>Narrative Übersicht zu therapeutischer Edukation bei Tuberkulose-Patienten (latente und aktive Form), einschließlich ihrer Rolle für Verständnis, Adhärenz und Stigma-Bekämpfung.</w:t>
      </w:r>
    </w:p>
    <w:p>
      <w:r>
        <w:rPr>
          <w:b/>
        </w:rPr>
        <w:t xml:space="preserve">Ergebnis: </w:t>
      </w:r>
      <w:r>
        <w:t>Therapeutische Edukation (Patient Therapeutic Education – ETP) zielt darauf, Selbstmanagement-Kompetenzen, Autonomie und Lebensqualität zu stärken. Adressiert Verständnisprobleme durch lange Behandlungsprotokolle, Nebenwirkungen und psychosoziale Faktoren. Strukturierte, kontinuierliche, multidisziplinäre, patientenzentrierte Strategie ist wesentlicher Hebel zur Optimierung von Behandlungsergebnissen und Bekämpfung der Tuberkulose.</w:t>
      </w:r>
    </w:p>
    <w:p>
      <w:r>
        <w:rPr>
          <w:b/>
          <w:sz w:val="19"/>
        </w:rPr>
        <w:t xml:space="preserve">Übertragbarkeit: </w:t>
      </w:r>
      <w:r>
        <w:rPr>
          <w:sz w:val="19"/>
        </w:rPr>
        <w:t>Belgien und Frankreich, vergleichbare Versicherungssysteme; Befunde zu Edukation und Adhärenz auf Deutschland übertragbar.</w:t>
      </w:r>
    </w:p>
    <w:p>
      <w:r>
        <w:rPr>
          <w:color w:val="5A7D3A"/>
          <w:sz w:val="18"/>
        </w:rPr>
        <w:t>https://pubmed.ncbi.nlm.nih.gov/42861535/</w:t>
      </w:r>
    </w:p>
    <w:p>
      <w:pPr>
        <w:pStyle w:val="Heading1"/>
      </w:pPr>
      <w:r>
        <w:t>Aufgenommen am 18.10.2026</w:t>
      </w:r>
    </w:p>
    <w:p>
      <w:pPr>
        <w:pStyle w:val="Heading2"/>
      </w:pPr>
      <w:r>
        <w:t>Bildung und Gesundheitskompetenz: Starker Gradient bei Umweltrisiken</w:t>
      </w:r>
    </w:p>
    <w:p>
      <w:r>
        <w:rPr>
          <w:i/>
          <w:color w:val="666666"/>
          <w:sz w:val="18"/>
        </w:rPr>
        <w:t>Luo X et al.  ·  Front Public Health  ·  02.10.2026  ·  PMID 42890812</w:t>
      </w:r>
    </w:p>
    <w:p>
      <w:r>
        <w:t>Querschnittsstudie zu Umwelt-Health Literacy bei 1.773 erwachsenen Stadtbewohnern in China mit standardisiertem 30-Item-Messinstrument.</w:t>
      </w:r>
    </w:p>
    <w:p>
      <w:r>
        <w:rPr>
          <w:b/>
        </w:rPr>
        <w:t xml:space="preserve">Ergebnis: </w:t>
      </w:r>
      <w:r>
        <w:t>Höhere Schulbildung zeigte stärksten Effekt auf Health Literacy: Personen mit Masterabschluss erzielen 11,32 Punkte höhere Werte (95%-KI: 7,84–14,80) als Personen mit Grundschulabschluss; adjustierte Quote suffiziente Kompetenz 10,06× höher (95%-KI: 3,82–28,98). 88,8% der Stichprobe erfüllten Schwelle ausreichender Kompetenz. Signifikante Geschlechts-×-Bildungs-Interaktionen zeigen Ungleichheit nach Geschlecht und Bildung.</w:t>
      </w:r>
    </w:p>
    <w:p>
      <w:r>
        <w:rPr>
          <w:b/>
          <w:sz w:val="19"/>
        </w:rPr>
        <w:t xml:space="preserve">Übertragbarkeit: </w:t>
      </w:r>
      <w:r>
        <w:rPr>
          <w:sz w:val="19"/>
        </w:rPr>
        <w:t>China, aber Befund zu Bildungsungleichheit systematisch übertragbar auf deutsche Risikogruppen</w:t>
      </w:r>
    </w:p>
    <w:p>
      <w:r>
        <w:rPr>
          <w:color w:val="5A7D3A"/>
          <w:sz w:val="18"/>
        </w:rPr>
        <w:t>https://pubmed.ncbi.nlm.nih.gov/42890812/</w:t>
      </w:r>
    </w:p>
    <w:p>
      <w:pPr>
        <w:pStyle w:val="Heading2"/>
      </w:pPr>
      <w:r>
        <w:t>Digitale Gesundheitskompetenz im Alter: Drei unterschiedliche Nutzerprofile</w:t>
      </w:r>
    </w:p>
    <w:p>
      <w:r>
        <w:rPr>
          <w:i/>
          <w:color w:val="666666"/>
          <w:sz w:val="18"/>
        </w:rPr>
        <w:t>Xiao Z et al.  ·  Front Public Health  ·  02.10.2026  ·  PMID 42890732</w:t>
      </w:r>
    </w:p>
    <w:p>
      <w:r>
        <w:t>Latente Profilanalyse bei 544 älteren Diabetespatienten (≥60 Jahre) zur eHealth Literacy anhand Chinesischer eHealth Literacy Scale.</w:t>
      </w:r>
    </w:p>
    <w:p>
      <w:r>
        <w:rPr>
          <w:b/>
        </w:rPr>
        <w:t xml:space="preserve">Ergebnis: </w:t>
      </w:r>
      <w:r>
        <w:t>Drei Kompetenzprofile identifiziert: Skill-Dependent 56,8% (Mittelwert 26,88), Comprehensive Deficit 15,1% (17,76), Comprehensive Advancement 28,1% (34,72), obwohl Stichprobenmittel nur 27,71±5,93. Höheres Alter (OR 8,50 pro 10 Jahre vs. Comprehensive Advancement), höhere Angst vor Krankheitsprogression (OR 4,60 pro 5 Punkte) und niedrigere Selbstwirksamkeit prädiktiv für niedrigere Profile. Ein Mittelwert verschleiert diese klinisch relevanten Unterschiede.</w:t>
      </w:r>
    </w:p>
    <w:p>
      <w:r>
        <w:rPr>
          <w:b/>
          <w:sz w:val="19"/>
        </w:rPr>
        <w:t xml:space="preserve">Übertragbarkeit: </w:t>
      </w:r>
      <w:r>
        <w:rPr>
          <w:sz w:val="19"/>
        </w:rPr>
        <w:t>China, aber Befund zu heterogenen Profilen überträgt sich auf deutsche Diabetes-Älteren</w:t>
      </w:r>
    </w:p>
    <w:p>
      <w:r>
        <w:rPr>
          <w:color w:val="5A7D3A"/>
          <w:sz w:val="18"/>
        </w:rPr>
        <w:t>https://pubmed.ncbi.nlm.nih.gov/42890732/</w:t>
      </w:r>
    </w:p>
    <w:p>
      <w:pPr>
        <w:pStyle w:val="Heading2"/>
      </w:pPr>
      <w:r>
        <w:t>Digitale Kompetenz und Behandlungssicherheit bei Herzpatienten: Psychische Faktoren als Schlüssel</w:t>
      </w:r>
    </w:p>
    <w:p>
      <w:r>
        <w:rPr>
          <w:i/>
          <w:color w:val="666666"/>
          <w:sz w:val="18"/>
        </w:rPr>
        <w:t>Huang Y et al.  ·  Front Public Health  ·  01.10.2026  ·  PMID 42889363</w:t>
      </w:r>
    </w:p>
    <w:p>
      <w:r>
        <w:t>Querschnittstudie mit CHD-Patienten (n nicht genannt) zur Assoziation von eHealth Literacy mit Entscheidungskonflikt, mediiert durch Cyberchondria und psychologische Inflexibilität mit latenter Profilanalyse.</w:t>
      </w:r>
    </w:p>
    <w:p>
      <w:r>
        <w:rPr>
          <w:b/>
        </w:rPr>
        <w:t xml:space="preserve">Ergebnis: </w:t>
      </w:r>
      <w:r>
        <w:t>eHealth Literacy signifikant und negativ assoziiert mit Entscheidungskonflikt. Cyberchondria und psychologische Inflexibilität mediieren diese Assoziation. Zwei latente Profile identifiziert: hohes und niedriges eHealth Literacy, unterscheiden sich signifikant in Entscheidungskonflikt, Cyberchondria und psychologischer Flexibilität. Person-zentrierter Ansatz enthüllt zwei Subgruppen statt eines Kontinuums.</w:t>
      </w:r>
    </w:p>
    <w:p>
      <w:r>
        <w:rPr>
          <w:b/>
          <w:sz w:val="19"/>
        </w:rPr>
        <w:t xml:space="preserve">Übertragbarkeit: </w:t>
      </w:r>
      <w:r>
        <w:rPr>
          <w:sz w:val="19"/>
        </w:rPr>
        <w:t>China, aber Befund zu psychischen Blockaden bei digitaler Kompetenznutzung auf deutsche Herzpatienten übertragbar</w:t>
      </w:r>
    </w:p>
    <w:p>
      <w:r>
        <w:rPr>
          <w:color w:val="5A7D3A"/>
          <w:sz w:val="18"/>
        </w:rPr>
        <w:t>https://pubmed.ncbi.nlm.nih.gov/42889363/</w:t>
      </w:r>
    </w:p>
    <w:p>
      <w:pPr>
        <w:pStyle w:val="Heading2"/>
      </w:pPr>
      <w:r>
        <w:t>Wie weibliche Studierende zu HPV-Wissen gelangen: Kanäle und Glaubwürdigkeit entscheidend</w:t>
      </w:r>
    </w:p>
    <w:p>
      <w:r>
        <w:rPr>
          <w:i/>
          <w:color w:val="666666"/>
          <w:sz w:val="18"/>
        </w:rPr>
        <w:t>Xie M et al.  ·  Front Public Health  ·  01.10.2026  ·  PMID 42889210</w:t>
      </w:r>
    </w:p>
    <w:p>
      <w:r>
        <w:t>Querschnittstudie mit 519 Studentinnen in China: Mediation von Health Information Literacy zwischen Informationssuche und HPV-Wissen, moderiert durch Kanaltyp (professional vs. non-professional) und Vertrauenspräferenz.</w:t>
      </w:r>
    </w:p>
    <w:p>
      <w:r>
        <w:rPr>
          <w:b/>
        </w:rPr>
        <w:t xml:space="preserve">Ergebnis: </w:t>
      </w:r>
      <w:r>
        <w:t>Health Information Literacy mediiert Effekt (indirekt: 0,056, 95%-KI [0,019–0,093]). Bei nicht-professionellen Kanälen war HIL-Wissen-Assoziation signifikant (B=0,112, p&lt;0,001), bei professionellen nicht (B=0,018, p=0,521). Vertrauenspräferenz zeigt vierfach stärkere Assoziation für nicht-professionelle Kanäle (B=0,210 vs. 0,049). Kanalcharakteristiken beeinflussen stark, ob Kompetenzen in Wissen übersetzt werden.</w:t>
      </w:r>
    </w:p>
    <w:p>
      <w:r>
        <w:rPr>
          <w:b/>
          <w:sz w:val="19"/>
        </w:rPr>
        <w:t xml:space="preserve">Übertragbarkeit: </w:t>
      </w:r>
      <w:r>
        <w:rPr>
          <w:sz w:val="19"/>
        </w:rPr>
        <w:t>China, aber Befund zu Kanaleffekten auf Wissen systematisch auf deutsche Informationsqualität übertragbar</w:t>
      </w:r>
    </w:p>
    <w:p>
      <w:r>
        <w:rPr>
          <w:color w:val="5A7D3A"/>
          <w:sz w:val="18"/>
        </w:rPr>
        <w:t>https://pubmed.ncbi.nlm.nih.gov/42889210/</w:t>
      </w:r>
    </w:p>
    <w:p>
      <w:pPr>
        <w:pStyle w:val="Heading2"/>
      </w:pPr>
      <w:r>
        <w:t>Patient Activation bei Dialyse: Digitale Begleitung erhöht Patientenbeteiligung, aber mit Hürden</w:t>
      </w:r>
    </w:p>
    <w:p>
      <w:r>
        <w:rPr>
          <w:i/>
          <w:color w:val="666666"/>
          <w:sz w:val="18"/>
        </w:rPr>
        <w:t>Wickens M et al.  ·  J Med Internet Res  ·  16.10.2026  ·  PMID 42887003</w:t>
      </w:r>
    </w:p>
    <w:p>
      <w:r>
        <w:t>Gemischte Methoden zur Patient Activation via 5 Module und 5 Videokonferenzen mit Peer-Mentoring bei Hämodialysepatienten (639 Patienten, 10 Zentren, USA).</w:t>
      </w:r>
    </w:p>
    <w:p>
      <w:r>
        <w:rPr>
          <w:b/>
        </w:rPr>
        <w:t xml:space="preserve">Ergebnis: </w:t>
      </w:r>
      <w:r>
        <w:t>Rekrutiert 155/639 (24,3%), Jüngere Patienten eher rekrutiert (57,6 vs. 64,3 Jahre, p&lt;0,001); jedes Zusatzjahr: 4% niedrigere Chancen (OR 0,96, 95%-KI: 0,94–0,98). Engagement höher bei Männern (IRR 1,33, p&lt;0,001), Schwarzen Patienten (IRR 1,27, p&lt;0,001). Von 155 Rekrutierten vollendeten 58 (37,4%) alle 5 Sessions. Durchschnittlicher Engagement-Score 18,4/50. Hauptverhalten: Patientenmittelung (81% der Ziele, 40,7% realisierten dies). 100% Zufriedenheit unter Mentees. Wichtigste Barriere: Rekrutierung und frühe Attrition vor Beginn.</w:t>
      </w:r>
    </w:p>
    <w:p>
      <w:r>
        <w:rPr>
          <w:b/>
          <w:sz w:val="19"/>
        </w:rPr>
        <w:t xml:space="preserve">Übertragbarkeit: </w:t>
      </w:r>
      <w:r>
        <w:rPr>
          <w:sz w:val="19"/>
        </w:rPr>
        <w:t>USA, aber Befund zu Alters- und Geschlechtsbias bei Engagement und Beteiligung auf deutsche Dialyse übertragbar</w:t>
      </w:r>
    </w:p>
    <w:p>
      <w:r>
        <w:rPr>
          <w:color w:val="5A7D3A"/>
          <w:sz w:val="18"/>
        </w:rPr>
        <w:t>https://pubmed.ncbi.nlm.nih.gov/42887003/</w:t>
      </w:r>
    </w:p>
    <w:p>
      <w:pPr>
        <w:pStyle w:val="Heading2"/>
      </w:pPr>
      <w:r>
        <w:t>Hüftoperation: App, Liveunterricht oder Broschüre – keine Unterschiede beim Verständnis</w:t>
      </w:r>
    </w:p>
    <w:p>
      <w:r>
        <w:rPr>
          <w:i/>
          <w:color w:val="666666"/>
          <w:sz w:val="18"/>
        </w:rPr>
        <w:t>DE Smet A et al.  ·  Acta Orthop Belg  ·  08.10.2026  ·  PMID 42885460</w:t>
      </w:r>
    </w:p>
    <w:p>
      <w:r>
        <w:t>Randomisierte kontrollierte Studie: 79 Patienten vor Hüftgelenksersatz in drei Gruppen (Broschüre n=29, Live-Sitzung n=24, Mobile App n=26) – Vergleich von Aufenthaltsdauer, Patientenzufriedenheit und postoperativen Ergebnissen.</w:t>
      </w:r>
    </w:p>
    <w:p>
      <w:r>
        <w:rPr>
          <w:b/>
        </w:rPr>
        <w:t xml:space="preserve">Ergebnis: </w:t>
      </w:r>
      <w:r>
        <w:t>Krankenhausaufenthalt 4,25±3 Tage, kein signifikanter Unterschied zwischen Gruppen (p=0,525). Zufriedenheit mit Unterrichtsmethode (p=0,997) und Informationsinhalt (p=0,365) gleich in allen Gruppen. App-Gruppe berichtete leicht höhere Motivation für Übungen, nicht signifikant. Alle Gruppen zeigten signifikante postoperative Verbesserungen (p&lt;0,001), keine Unterschiede in Magnitude. Zusatzkosten für Live-Sitzungen und App-Einsatz überwiegen begrenzte Vorteile nicht.</w:t>
      </w:r>
    </w:p>
    <w:p>
      <w:r>
        <w:rPr>
          <w:b/>
          <w:sz w:val="19"/>
        </w:rPr>
        <w:t xml:space="preserve">Übertragbarkeit: </w:t>
      </w:r>
      <w:r>
        <w:rPr>
          <w:sz w:val="19"/>
        </w:rPr>
        <w:t>Belgien, vergleichbares Gesundheitssystem, direkt auf deutsche Orthopädie-Praxen übertragbar</w:t>
      </w:r>
    </w:p>
    <w:p>
      <w:r>
        <w:rPr>
          <w:color w:val="5A7D3A"/>
          <w:sz w:val="18"/>
        </w:rPr>
        <w:t>https://pubmed.ncbi.nlm.nih.gov/42885460/</w:t>
      </w:r>
    </w:p>
    <w:p>
      <w:pPr>
        <w:pStyle w:val="Heading1"/>
      </w:pPr>
      <w:r>
        <w:t>Aufgenommen am 17.10.2026</w:t>
      </w:r>
    </w:p>
    <w:p>
      <w:pPr>
        <w:pStyle w:val="Heading2"/>
      </w:pPr>
      <w:r>
        <w:t>Verständlichkeit digitaler Schulungsmaterialien mit Augmented Reality zur Fußpflege</w:t>
      </w:r>
    </w:p>
    <w:p>
      <w:r>
        <w:rPr>
          <w:i/>
          <w:color w:val="666666"/>
          <w:sz w:val="18"/>
        </w:rPr>
        <w:t>Velázquez-López L et al.  ·  Inquiry  ·  16.10.2026  ·  PMID 42887896</w:t>
      </w:r>
    </w:p>
    <w:p>
      <w:r>
        <w:t>Validierungsstudie eines Hybrid-Lernmaterials (Print und App mit Augmented Reality) zur Diabetischen-Fuß-Prävention durch 38 Fachexpert*innen über drei Monate.</w:t>
      </w:r>
    </w:p>
    <w:p>
      <w:r>
        <w:rPr>
          <w:b/>
        </w:rPr>
        <w:t xml:space="preserve">Ergebnis: </w:t>
      </w:r>
      <w:r>
        <w:t>97,4 % bewerteten das Material mit hohem Score, 2,6 % mit mittlerem Score, 0 % mit niedrigem Score. Mittleres Alter der Expert*innen 34 Jahre, mediane klinische Erfahrung 8 Jahre (IQR 2–15). Das Ergebnis zeigt, dass Fachpersonal die Materialien als verständlich und hilfreich für die Gesundheitserziehung bewertet.</w:t>
      </w:r>
    </w:p>
    <w:p>
      <w:r>
        <w:rPr>
          <w:b/>
          <w:sz w:val="19"/>
        </w:rPr>
        <w:t xml:space="preserve">Übertragbarkeit: </w:t>
      </w:r>
      <w:r>
        <w:rPr>
          <w:sz w:val="19"/>
        </w:rPr>
        <w:t>Mexiko; Validierungsergebnis technik-unabhängig, aber Übertragbarkeit auf deutsche Schulungskontexte erfordert kulturelle Anpassung.</w:t>
      </w:r>
    </w:p>
    <w:p>
      <w:r>
        <w:rPr>
          <w:color w:val="5A7D3A"/>
          <w:sz w:val="18"/>
        </w:rPr>
        <w:t>https://pubmed.ncbi.nlm.nih.gov/42887896/</w:t>
      </w:r>
    </w:p>
    <w:p>
      <w:pPr>
        <w:pStyle w:val="Heading2"/>
      </w:pPr>
      <w:r>
        <w:t>Patientenbeteiligung in Forschung: Lernprozesse und Herausforderungen bei der Zusammenarbeit</w:t>
      </w:r>
    </w:p>
    <w:p>
      <w:r>
        <w:rPr>
          <w:i/>
          <w:color w:val="666666"/>
          <w:sz w:val="18"/>
        </w:rPr>
        <w:t>Fox J et al.  ·  Health Expect  ·  Okt. 2026  ·  PMID 42886175</w:t>
      </w:r>
    </w:p>
    <w:p>
      <w:r>
        <w:t>Qualitative Fallstudie zur Erfahrung von Forschungsteams und Patient*innen mit Lived-Experience-Expertise über sieben Jahre hinweg in einer Mental-Health-Interventionsstudie.</w:t>
      </w:r>
    </w:p>
    <w:p>
      <w:r>
        <w:rPr>
          <w:b/>
        </w:rPr>
        <w:t xml:space="preserve">Ergebnis: </w:t>
      </w:r>
      <w:r>
        <w:t>Beide Gruppen durchliefen einen Lernprozess, der von Spannungen geprägt war. Der Erfolg der Patientenbeteiligung hängt von Flexibilität, offener Kommunikation und regelmäßigem reflektierendem Feedback ab – nicht primär von messbaren wirtschaftlichen Erträgen. Teamdynamik, strukturelle Veränderungen und externe Faktoren (etwa COVID-19) beeinflussen die Zusammenarbeit erheblich.</w:t>
      </w:r>
    </w:p>
    <w:p>
      <w:r>
        <w:rPr>
          <w:b/>
          <w:sz w:val="19"/>
        </w:rPr>
        <w:t xml:space="preserve">Übertragbarkeit: </w:t>
      </w:r>
      <w:r>
        <w:rPr>
          <w:sz w:val="19"/>
        </w:rPr>
        <w:t>Großbritannien, NHS-System; Erkenntnisse zur Gestaltung echter Partizipation sind kontextübergreifend relevant.</w:t>
      </w:r>
    </w:p>
    <w:p>
      <w:r>
        <w:rPr>
          <w:color w:val="5A7D3A"/>
          <w:sz w:val="18"/>
        </w:rPr>
        <w:t>https://pubmed.ncbi.nlm.nih.gov/42886175/</w:t>
      </w:r>
    </w:p>
    <w:p>
      <w:pPr>
        <w:pStyle w:val="Heading2"/>
      </w:pPr>
      <w:r>
        <w:t>Ernährungsschulung in der Schwangerschaft: Effektive Komponenten zur Gestationsdiabetes-Prävention</w:t>
      </w:r>
    </w:p>
    <w:p>
      <w:r>
        <w:rPr>
          <w:i/>
          <w:color w:val="666666"/>
          <w:sz w:val="18"/>
        </w:rPr>
        <w:t>Gao M et al.  ·  Nutrients  ·  08.10.2026  ·  PMID 42884754</w:t>
      </w:r>
    </w:p>
    <w:p>
      <w:r>
        <w:t>Systematischer Review und Metaanalyse von 29 RCTs mit 17.937 schwangeren Frauen zur Wirkung von Ernährungsbildungsinterventionen auf das Gestationsdiabetes-Risiko.</w:t>
      </w:r>
    </w:p>
    <w:p>
      <w:r>
        <w:rPr>
          <w:b/>
        </w:rPr>
        <w:t xml:space="preserve">Ergebnis: </w:t>
      </w:r>
      <w:r>
        <w:t>Interventionen senken das Gestationsdiabetes-Risiko um 12 % (gepooltes RR 0,88, 95%-CI 0,79–0,98; p=0,02). Absolute Inzidenz: 16,01 % (Intervention) vs. 17,06 % (Kontrolle). Größte Risikoreduktion bei Interventionen, die in theoretischen Konzepten verankert, im Krankenhaus durchgeführt und mit hoher Treue umgesetzt wurden. Einzelne Angebote und Diätinhalte zeigten günstige, aber nicht signifikante Trends.</w:t>
      </w:r>
    </w:p>
    <w:p>
      <w:r>
        <w:rPr>
          <w:b/>
          <w:sz w:val="19"/>
        </w:rPr>
        <w:t xml:space="preserve">Übertragbarkeit: </w:t>
      </w:r>
      <w:r>
        <w:rPr>
          <w:sz w:val="19"/>
        </w:rPr>
        <w:t>Diverse Settings; Evidenz unterstützt systematische Verankerung in der Routinevorsorge – auch für Deutschland.</w:t>
      </w:r>
    </w:p>
    <w:p>
      <w:r>
        <w:rPr>
          <w:color w:val="5A7D3A"/>
          <w:sz w:val="18"/>
        </w:rPr>
        <w:t>https://pubmed.ncbi.nlm.nih.gov/42884754/</w:t>
      </w:r>
    </w:p>
    <w:p>
      <w:pPr>
        <w:pStyle w:val="Heading2"/>
      </w:pPr>
      <w:r>
        <w:t>Lücken in der psychischen Gesundheitskompetenz von Fachpflegekräften</w:t>
      </w:r>
    </w:p>
    <w:p>
      <w:r>
        <w:rPr>
          <w:i/>
          <w:color w:val="666666"/>
          <w:sz w:val="18"/>
        </w:rPr>
        <w:t>Pietrzak M et al.  ·  Front Public Health  ·  30.09.2026  ·  PMID 42876669</w:t>
      </w:r>
    </w:p>
    <w:p>
      <w:r>
        <w:t>Querschnittstudie zur Mental Health Literacy (Wissen, Erkennung, Behandlung psychischer Störungen) bei 207 polnischen Familienpflegekräften mit standardisiertem Messinstrument.</w:t>
      </w:r>
    </w:p>
    <w:p>
      <w:r>
        <w:rPr>
          <w:b/>
        </w:rPr>
        <w:t xml:space="preserve">Ergebnis: </w:t>
      </w:r>
      <w:r>
        <w:t>Mittlere normalisierte Gesamtscore 70,43 %; größte Lücken bei Risikofaktoren und verfügbarer professioneller Hilfe (je 66,67 %), beste Scores bei Störungserkennung (75 %). Unabhängig assoziiert mit höherer Kompetenz: jüngeres Alter, städtischer Wohnort, Kontakt zu Menschen mit psychischer Erkrankung. Ältere und ländliche Pflegekräfte brauchen gezielt Fortbildung.</w:t>
      </w:r>
    </w:p>
    <w:p>
      <w:r>
        <w:rPr>
          <w:b/>
          <w:sz w:val="19"/>
        </w:rPr>
        <w:t xml:space="preserve">Übertragbarkeit: </w:t>
      </w:r>
      <w:r>
        <w:rPr>
          <w:sz w:val="19"/>
        </w:rPr>
        <w:t>Polen, EU-Gesundheitssystem; Ergebnisse zur Weiterbildung übertragbar auf Deutschland.</w:t>
      </w:r>
    </w:p>
    <w:p>
      <w:r>
        <w:rPr>
          <w:color w:val="5A7D3A"/>
          <w:sz w:val="18"/>
        </w:rPr>
        <w:t>https://pubmed.ncbi.nlm.nih.gov/42876669/</w:t>
      </w:r>
    </w:p>
    <w:p>
      <w:pPr>
        <w:pStyle w:val="Heading2"/>
      </w:pPr>
      <w:r>
        <w:t>Patientenschulung zur sicheren Heimentfernung von Drainagen: Effekt auf Komplikationen und Zufriedenheit</w:t>
      </w:r>
    </w:p>
    <w:p>
      <w:r>
        <w:rPr>
          <w:i/>
          <w:color w:val="666666"/>
          <w:sz w:val="18"/>
        </w:rPr>
        <w:t>Mostacada N et al.  ·  Clin Nurse Spec  ·  07.10.2026  ·  PMID 42842229</w:t>
      </w:r>
    </w:p>
    <w:p>
      <w:r>
        <w:t>Qualitätsverbesserungsprojekt: Klinische Pflegefachkräfte schulten Patienten (mit Handout, persönlichem Training und Hands-on-Praxis) zur sicheren Entfernung von Jackson-Pratt-Drainagen zu Hause.</w:t>
      </w:r>
    </w:p>
    <w:p>
      <w:r>
        <w:rPr>
          <w:b/>
        </w:rPr>
        <w:t xml:space="preserve">Ergebnis: </w:t>
      </w:r>
      <w:r>
        <w:t>Seit Februar 2025 wurden knapp 100 Drainagen erfolgreich zu Hause entfernt, ohne Komplikationen gemeldet. Durch strukturierte Patientenschulung verbesserte sich Patienten-Sicherheit und Komfort, stieg die Zufriedenheit, sank das Komplikationsrisiko und die Ressourcennutzung, ohne Patientenergebnisse zu gefährden.</w:t>
      </w:r>
    </w:p>
    <w:p>
      <w:r>
        <w:rPr>
          <w:b/>
          <w:sz w:val="19"/>
        </w:rPr>
        <w:t xml:space="preserve">Übertragbarkeit: </w:t>
      </w:r>
      <w:r>
        <w:rPr>
          <w:sz w:val="19"/>
        </w:rPr>
        <w:t>USA; Evidenz für Benefit von strukturierter Patientenschulung ist systemübergreifend relevant, Umsetzung auf Deutschland übertragbar.</w:t>
      </w:r>
    </w:p>
    <w:p>
      <w:r>
        <w:rPr>
          <w:color w:val="5A7D3A"/>
          <w:sz w:val="18"/>
        </w:rPr>
        <w:t>https://pubmed.ncbi.nlm.nih.gov/42842229/</w:t>
      </w:r>
    </w:p>
    <w:p>
      <w:pPr>
        <w:pStyle w:val="Heading2"/>
      </w:pPr>
      <w:r>
        <w:t>Kardiovaskuläre Gesundheitskompetenz bei Frauen: Mangel an Information und Erkennung</w:t>
      </w:r>
    </w:p>
    <w:p>
      <w:r>
        <w:rPr>
          <w:i/>
          <w:color w:val="666666"/>
          <w:sz w:val="18"/>
        </w:rPr>
        <w:t>Quintal J et al.  ·  Rev Port Cardiol  ·  25.08.2026  ·  PMID 42641683</w:t>
      </w:r>
    </w:p>
    <w:p>
      <w:r>
        <w:t>Querschnittstudie bei 204 portugiesischen Frauen (Alter ≥18 Jahre) zur kardiovaskulären Health Literacy: Wissensstand zu Risikofaktoren, Symptomen, Prävention und angemessenem Handeln.</w:t>
      </w:r>
    </w:p>
    <w:p>
      <w:r>
        <w:rPr>
          <w:b/>
        </w:rPr>
        <w:t xml:space="preserve">Ergebnis: </w:t>
      </w:r>
      <w:r>
        <w:t>Nur 5,6 % fühlten sich gut informiert, 15,4 % berichteten kein Wissen. Nur 27,7 % erkannten kardiovaskuläre Erkrankung als Todesursache Nr. 1 bei Frauen. Symptomerkennung unzureichend. Hauptbarrieren: finanzielle Constraints (50 %), Zeitmangel (36,7 %). Im multivariaten Modell: Alter ≥62 Jahre (OR 4,20, 95%-CI 1,57–11,22) und Grundschulbildung (OR 3,60, 95%-CI 1,43–9,09) vorhersagend für niedrige Awareness.</w:t>
      </w:r>
    </w:p>
    <w:p>
      <w:r>
        <w:rPr>
          <w:b/>
          <w:sz w:val="19"/>
        </w:rPr>
        <w:t xml:space="preserve">Übertragbarkeit: </w:t>
      </w:r>
      <w:r>
        <w:rPr>
          <w:sz w:val="19"/>
        </w:rPr>
        <w:t>Portugal, vergleichbares europäisches Gesundheitssystem; Disparitäten nach Alter und Bildung sind in Deutschland ähnlich.</w:t>
      </w:r>
    </w:p>
    <w:p>
      <w:r>
        <w:rPr>
          <w:color w:val="5A7D3A"/>
          <w:sz w:val="18"/>
        </w:rPr>
        <w:t>https://pubmed.ncbi.nlm.nih.gov/42641683/</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