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w:t>
      </w:r>
    </w:p>
    <w:p>
      <w:r>
        <w:rPr>
          <w:i/>
          <w:color w:val="666666"/>
          <w:sz w:val="18"/>
        </w:rPr>
        <w:t>Stand: 14.10.2026  |  325 Studien  |  healthliteracy.m-vf.de</w:t>
      </w:r>
    </w:p>
    <w:p>
      <w:pPr>
        <w:pStyle w:val="Heading1"/>
      </w:pPr>
      <w:r>
        <w:t>Aufgenommen am 14.10.2026</w:t>
      </w:r>
    </w:p>
    <w:p>
      <w:pPr>
        <w:pStyle w:val="Heading2"/>
      </w:pPr>
      <w:r>
        <w:t>Kurzvideo verbessert Verständnis von Tumor-Genomtestung dauerhaft</w:t>
      </w:r>
    </w:p>
    <w:p>
      <w:r>
        <w:rPr>
          <w:i/>
          <w:color w:val="666666"/>
          <w:sz w:val="18"/>
        </w:rPr>
        <w:t>Veney DJ et al.  ·  PLoS One  ·  13.10.2026  ·  PMID 42868120</w:t>
      </w:r>
    </w:p>
    <w:p>
      <w:r>
        <w:t>Quantitative Studie mit 203 Krebspatienten in akademischen und Gemeinschaftspraxen in den USA, die die Wirkung eines 3-4 Minuten langen Erklärvideos vor Genomtestung untersuchte.</w:t>
      </w:r>
    </w:p>
    <w:p>
      <w:r>
        <w:rPr>
          <w:b/>
        </w:rPr>
        <w:t xml:space="preserve">Ergebnis: </w:t>
      </w:r>
      <w:r>
        <w:t>Videogestütztes Wissen (VMSK) verbesserte sich signifikant vom Zeitpunkt vor Video (T1) über direkt danach (T2) bis nach Ergebnis (T3), mit p&lt;0,0001. Bei vier spezifischen Fragen zu Behandlungsfolgen, Zufallsbefunden und Kostenübernahme war die Verbesserung deutlich (alle p≤0,0001). Objektives genetisches Wissen (GKU) änderte sich nicht (p=0,41). Die Wirkung war konsistent in akademischen und Gemeinschaftspraxen sowie über alle Krebsarten hinweg.</w:t>
      </w:r>
    </w:p>
    <w:p>
      <w:r>
        <w:rPr>
          <w:b/>
          <w:sz w:val="19"/>
        </w:rPr>
        <w:t xml:space="preserve">Übertragbarkeit: </w:t>
      </w:r>
      <w:r>
        <w:rPr>
          <w:sz w:val="19"/>
        </w:rPr>
        <w:t>USA; Videoformat und Inhalte müssen für deutsche Fachsprache und Versicherungssystem adaptiert werden</w:t>
      </w:r>
    </w:p>
    <w:p>
      <w:r>
        <w:rPr>
          <w:color w:val="5A7D3A"/>
          <w:sz w:val="18"/>
        </w:rPr>
        <w:t>https://pubmed.ncbi.nlm.nih.gov/42868120/</w:t>
      </w:r>
    </w:p>
    <w:p>
      <w:pPr>
        <w:pStyle w:val="Heading2"/>
      </w:pPr>
      <w:r>
        <w:t>Schulung stärkt Gesundheitskompetenz von Pflegefachpersonen – erste Messresultate aus China</w:t>
      </w:r>
    </w:p>
    <w:p>
      <w:r>
        <w:rPr>
          <w:i/>
          <w:color w:val="666666"/>
          <w:sz w:val="18"/>
        </w:rPr>
        <w:t>Bao X et al.  ·  Front Public Health  ·  28.09.2026  ·  PMID 42865762</w:t>
      </w:r>
    </w:p>
    <w:p>
      <w:r>
        <w:t>Methodische Studie mit 647 Pflegefachpersonen aus Krankenhäusern in China, die eine Skala zur Erfassung von Gesundheitskompetenz bei Pflegenden entwickelte und in einer Querschnittserhebung anwendete.</w:t>
      </w:r>
    </w:p>
    <w:p>
      <w:r>
        <w:rPr>
          <w:b/>
        </w:rPr>
        <w:t xml:space="preserve">Ergebnis: </w:t>
      </w:r>
      <w:r>
        <w:t>Die finale 39-Item-Skala mit fünf Dimensionen erklärte 72,6% der Varianz mit gutem Modellfit (χ²/df=2,223, RMSEA=0,056). Die Gesamtskala Cronbachs α war 0,958. Bei 647 befragten Pflegefachpersonen lag der mittlere Score bei 154,41 (SD 20,60). In der Regressionsanalyse waren unabhängige Prädiktoren: Gesundheitsstatus (β=0,087, p=0,024), Gesundheitskompetenz-Schulung (β=0,164, p=0,001) und Kompetenzschulung (β=0,122, p=0,012). Diese erklärten 7,8% der Varianz.</w:t>
      </w:r>
    </w:p>
    <w:p>
      <w:r>
        <w:rPr>
          <w:b/>
          <w:sz w:val="19"/>
        </w:rPr>
        <w:t xml:space="preserve">Übertragbarkeit: </w:t>
      </w:r>
      <w:r>
        <w:rPr>
          <w:sz w:val="19"/>
        </w:rPr>
        <w:t>China; Skalenkonstruktion für deutsches Nursing-Assessment möglich, aber Kontextualisierung erforderlich</w:t>
      </w:r>
    </w:p>
    <w:p>
      <w:r>
        <w:rPr>
          <w:color w:val="5A7D3A"/>
          <w:sz w:val="18"/>
        </w:rPr>
        <w:t>https://pubmed.ncbi.nlm.nih.gov/42865762/</w:t>
      </w:r>
    </w:p>
    <w:p>
      <w:pPr>
        <w:pStyle w:val="Heading2"/>
      </w:pPr>
      <w:r>
        <w:t>Beteiligung von Patienten in der Arzneimittelentwicklung: Motive analysieren, Hürden erkennen</w:t>
      </w:r>
    </w:p>
    <w:p>
      <w:r>
        <w:rPr>
          <w:i/>
          <w:color w:val="666666"/>
          <w:sz w:val="18"/>
        </w:rPr>
        <w:t>Frost J et al.  ·  Sociol Health Illn  ·  Nov. 2026  ·  PMID 42865318</w:t>
      </w:r>
    </w:p>
    <w:p>
      <w:r>
        <w:t>Ethnografische Studie mit Biotechnologieunternehmen (200 Stunden informelle, 50 Stunden formelle Beobachtung, 10 Interviews, Dokumentenanalyse), die die Motive und praktischen Barrieren für Patientenbeteiligung während der Arzneimittelentwicklung untersuchte.</w:t>
      </w:r>
    </w:p>
    <w:p>
      <w:r>
        <w:rPr>
          <w:b/>
        </w:rPr>
        <w:t xml:space="preserve">Ergebnis: </w:t>
      </w:r>
      <w:r>
        <w:t>Unternehmen nennen mehrere Motive für Patientenbeteiligung: regulatorische Anforderungen, Corporate Social Responsibility und Return-on-Investment. Die Analyse zeigte aber systematische Lücken: Es fehlte eine Strategie, diese Motive in ein Framework zu übersetzen, das nachhaltige Beteiligung im Zeitverlauf sichert. Barrieren sind die dynamische Natur der Pipeline, begrenzte zeitliche Fenster und falsche Vorstellungen über Engagement-Mechanismen. Die Studie identifizierte Praktiken in Entwicklungs- und Industrieprozessen, die sinnvolle Beteiligung behindern.</w:t>
      </w:r>
    </w:p>
    <w:p>
      <w:r>
        <w:rPr>
          <w:b/>
          <w:sz w:val="19"/>
        </w:rPr>
        <w:t xml:space="preserve">Übertragbarkeit: </w:t>
      </w:r>
      <w:r>
        <w:rPr>
          <w:sz w:val="19"/>
        </w:rPr>
        <w:t>Großbritannien mit Patientenperspektive; Erkenntnisse zu institutionellen Barrieren auf deutsche Versorgungsforschung übertragbar</w:t>
      </w:r>
    </w:p>
    <w:p>
      <w:r>
        <w:rPr>
          <w:color w:val="5A7D3A"/>
          <w:sz w:val="18"/>
        </w:rPr>
        <w:t>https://pubmed.ncbi.nlm.nih.gov/42865318/</w:t>
      </w:r>
    </w:p>
    <w:p>
      <w:pPr>
        <w:pStyle w:val="Heading2"/>
      </w:pPr>
      <w:r>
        <w:t>Psychoedukation mit motivierender Gesprächsführung verbessert Wissen und Hoffnung bei Schizophrenie</w:t>
      </w:r>
    </w:p>
    <w:p>
      <w:r>
        <w:rPr>
          <w:i/>
          <w:color w:val="666666"/>
          <w:sz w:val="18"/>
        </w:rPr>
        <w:t>Taşkıner B et al.  ·  Arch Psychiatr Nurs  ·  27.08.2026  ·  PMID 42863921</w:t>
      </w:r>
    </w:p>
    <w:p>
      <w:r>
        <w:t>Randomisierte kontrollierte Studie mit 44 Personen mit Schizophrenie in der Türkei, die untersuchte, ob ein kombiniertes Programm aus Psychoedukation und motivierender Gesprächsführung das krankheitsbezogene Wissen und die Hoffnung verbessert.</w:t>
      </w:r>
    </w:p>
    <w:p>
      <w:r>
        <w:rPr>
          <w:b/>
        </w:rPr>
        <w:t xml:space="preserve">Ergebnis: </w:t>
      </w:r>
      <w:r>
        <w:t>Die Interventionsgruppe (n=21) zeigte nach dem Programm signifikante Verbesserungen in krankheitsbezogenem Wissen (F=176,060, p&lt;0,001, η²=0,898) und Hoffnung (F=99,782, p&lt;0,001, η²=0,833), die sich ein Monat später erhielten. Die Kontrollgruppe (n=23) ohne Intervention zeigte diese Verbesserungen nicht.</w:t>
      </w:r>
    </w:p>
    <w:p>
      <w:r>
        <w:rPr>
          <w:b/>
          <w:sz w:val="19"/>
        </w:rPr>
        <w:t xml:space="preserve">Übertragbarkeit: </w:t>
      </w:r>
      <w:r>
        <w:rPr>
          <w:sz w:val="19"/>
        </w:rPr>
        <w:t>Türkei, psychiatrischer Gemeindedienst; Schulungsmodell prinzipiell übertragbar auf deutsches Gesundheitswesen</w:t>
      </w:r>
    </w:p>
    <w:p>
      <w:r>
        <w:rPr>
          <w:color w:val="5A7D3A"/>
          <w:sz w:val="18"/>
        </w:rPr>
        <w:t>https://pubmed.ncbi.nlm.nih.gov/42863921/</w:t>
      </w:r>
    </w:p>
    <w:p>
      <w:pPr>
        <w:pStyle w:val="Heading2"/>
      </w:pPr>
      <w:r>
        <w:t>Wie Gesundheitskompetenz über Verhalten und Psyche die Lebensqualität beeinflusst</w:t>
      </w:r>
    </w:p>
    <w:p>
      <w:r>
        <w:rPr>
          <w:i/>
          <w:color w:val="666666"/>
          <w:sz w:val="18"/>
        </w:rPr>
        <w:t>Poonthananiwatkul B et al.  ·  Health Lit Res Pract  ·  09.10.2026  ·  PMID 42858453</w:t>
      </w:r>
    </w:p>
    <w:p>
      <w:r>
        <w:t>Strukturgleichungsmodell mit 360 arbeitsfähigen Erwachsenen (15–59 Jahre) in Thailand, das die Pfade untersuchte, über die Gesundheitskompetenz auf Lebensqualität wirkt.</w:t>
      </w:r>
    </w:p>
    <w:p>
      <w:r>
        <w:rPr>
          <w:b/>
        </w:rPr>
        <w:t xml:space="preserve">Ergebnis: </w:t>
      </w:r>
      <w:r>
        <w:t>Gesundheitsverhalten und psychische Gesundheit hatten signifikante direkte positive Effekte auf Lebensqualität (β=0,315, p&lt;0,001; β=0,860, p&lt;0,001). Gesundheitskompetenz wirkte signifikant positiv auf Verhalten (β=0,396, p&lt;0,001) und psychische Gesundheit (β=0,391, p&lt;0,001) und indirekt auf Lebensqualität (β=0,464, p&lt;0,001). Das Modell erklärte 92% der Varianz in Lebensqualität mit ausgezeichnetem Fit (χ²/df=1,249, p=0,070, RMSEA=0,026, CFI=0,995). Ein sequenzieller Pfad wurde beobachtet: Gesundheitskompetenz → Verhalten → psychische Gesundheit → Lebensqualität.</w:t>
      </w:r>
    </w:p>
    <w:p>
      <w:r>
        <w:rPr>
          <w:b/>
          <w:sz w:val="19"/>
        </w:rPr>
        <w:t xml:space="preserve">Übertragbarkeit: </w:t>
      </w:r>
      <w:r>
        <w:rPr>
          <w:sz w:val="19"/>
        </w:rPr>
        <w:t>Thailand; Modellstruktur zeigt theoretische Anknüpfungspunkte für deutsche Interventionen, aber kulturelle Kontextualisierung nötig</w:t>
      </w:r>
    </w:p>
    <w:p>
      <w:r>
        <w:rPr>
          <w:color w:val="5A7D3A"/>
          <w:sz w:val="18"/>
        </w:rPr>
        <w:t>https://pubmed.ncbi.nlm.nih.gov/42858453/</w:t>
      </w:r>
    </w:p>
    <w:p>
      <w:pPr>
        <w:pStyle w:val="Heading2"/>
      </w:pPr>
      <w:r>
        <w:t>Generative KI in der Patientenbeteiligung: Risiken erkennen, Regeln setzen</w:t>
      </w:r>
    </w:p>
    <w:p>
      <w:r>
        <w:rPr>
          <w:i/>
          <w:color w:val="666666"/>
          <w:sz w:val="18"/>
        </w:rPr>
        <w:t>Lammons W et al.  ·  J Med Internet Res  ·  30.09.2026  ·  PMID 42852573</w:t>
      </w:r>
    </w:p>
    <w:p>
      <w:r>
        <w:t>Stellungnahme von PPIE-Fachleuten (Patient and Public Involvement and Engagement) in Großbritannien, die die Risiken und Chancen generativer KI für die authentische Rolle von Patienten in Gesundheitsforschung und -politik analysiert.</w:t>
      </w:r>
    </w:p>
    <w:p>
      <w:r>
        <w:rPr>
          <w:b/>
        </w:rPr>
        <w:t xml:space="preserve">Ergebnis: </w:t>
      </w:r>
      <w:r>
        <w:t>Vier Risiken werden benannt: KI kann verzerrte oder falsche Outputs produzieren, die Ungleichheit verstärken, Patientenstimmen minimieren oder ersetzen und Lernprozesse einengen. Als Chancen werden schnellere Diagnostik und Barrierefreiheit genannt. Die Autoren stellen eine Checkliste bereit mit pragmatischen Anforderungen an ethische KI-Nutzung in PPIE-Kontexten.</w:t>
      </w:r>
    </w:p>
    <w:p>
      <w:r>
        <w:rPr>
          <w:b/>
          <w:sz w:val="19"/>
        </w:rPr>
        <w:t xml:space="preserve">Übertragbarkeit: </w:t>
      </w:r>
      <w:r>
        <w:rPr>
          <w:sz w:val="19"/>
        </w:rPr>
        <w:t>Großbritannien, NHS-Kontext; Fragenstellung zur Authentizität von Patientenstimmen systemübergreifend relevant</w:t>
      </w:r>
    </w:p>
    <w:p>
      <w:r>
        <w:rPr>
          <w:color w:val="5A7D3A"/>
          <w:sz w:val="18"/>
        </w:rPr>
        <w:t>https://pubmed.ncbi.nlm.nih.gov/42852573/</w:t>
      </w:r>
    </w:p>
    <w:p>
      <w:pPr>
        <w:pStyle w:val="Heading1"/>
      </w:pPr>
      <w:r>
        <w:t>Aufgenommen am 13.10.2026</w:t>
      </w:r>
    </w:p>
    <w:p>
      <w:pPr>
        <w:pStyle w:val="Heading2"/>
      </w:pPr>
      <w:r>
        <w:t>CollaboRATE-5 misst Patientenbeteiligung an Entscheidungen reliabel – auch in Türkei</w:t>
      </w:r>
    </w:p>
    <w:p>
      <w:r>
        <w:rPr>
          <w:i/>
          <w:color w:val="666666"/>
          <w:sz w:val="18"/>
        </w:rPr>
        <w:t>Toçoğlu M et al.  ·  J Eval Clin Pract  ·  Okt. 2026  ·  PMID 42862937</w:t>
      </w:r>
    </w:p>
    <w:p>
      <w:r>
        <w:t>Methodische Studie zur Adaptation und psychometrischen Validierung der 5-Item-Skala CollaboRATE-5 für türkische Diabetespatienten (n=200) zur Erfassung wahrgenommener Shared Decision-Making.</w:t>
      </w:r>
    </w:p>
    <w:p>
      <w:r>
        <w:rPr>
          <w:b/>
        </w:rPr>
        <w:t xml:space="preserve">Ergebnis: </w:t>
      </w:r>
      <w:r>
        <w:t>Cronbach's α=0,918 (hohe innere Konsistenz). Test-Retest-Reliabilität ICC=0,892 (n=65). Item-Gesamt-Korrelationen 0,776–0,866. Standardisierte Faktorladungen 0,872–0,986. Mittleres Score 9,51±2,22 (Range 0–12), 31,5% erreichten Maximalwert. Inverse Korrelation mit Decisional Conflict Scale (rs=−0,641; p&lt;0,001). Höhere Scores assoziiert mit höherer Bildung, besserer Gesundheitswahrnehmung, männlichem Geschlecht (alle p&lt;0,01). Strukturelle Validität in just-identified Modell nicht unabhängig bestätigt, aber insgesamt Reliabilität und Konstruktvalidität unterstützt.</w:t>
      </w:r>
    </w:p>
    <w:p>
      <w:r>
        <w:rPr>
          <w:b/>
          <w:sz w:val="19"/>
        </w:rPr>
        <w:t xml:space="preserve">Übertragbarkeit: </w:t>
      </w:r>
      <w:r>
        <w:rPr>
          <w:sz w:val="19"/>
        </w:rPr>
        <w:t>Türkei, aber CollaboRATE-5 international validierter Standard – Ergebnis auf Deutschland übertragbar</w:t>
      </w:r>
    </w:p>
    <w:p>
      <w:r>
        <w:rPr>
          <w:color w:val="5A7D3A"/>
          <w:sz w:val="18"/>
        </w:rPr>
        <w:t>https://pubmed.ncbi.nlm.nih.gov/42862937/</w:t>
      </w:r>
    </w:p>
    <w:p>
      <w:pPr>
        <w:pStyle w:val="Heading2"/>
      </w:pPr>
      <w:r>
        <w:t>Strukturierte Stillvorbereitung erhöht Stillquoten und reduziert Stillkomplikationen</w:t>
      </w:r>
    </w:p>
    <w:p>
      <w:r>
        <w:rPr>
          <w:i/>
          <w:color w:val="666666"/>
          <w:sz w:val="18"/>
        </w:rPr>
        <w:t>Zhang C et al.  ·  J Obstet Gynaecol  ·  12.10.2026  ·  PMID 42862704</w:t>
      </w:r>
    </w:p>
    <w:p>
      <w:r>
        <w:t>Eine Studie verglich Frauen mit multikomponentenem Schulungsprogramm (Wissen, Einstellungen, praktische Fähigkeiten) gegen Standardvorbereitung auf Stilleergebnis und Selbstwirksamkeit.</w:t>
      </w:r>
    </w:p>
    <w:p>
      <w:r>
        <w:rPr>
          <w:b/>
        </w:rPr>
        <w:t xml:space="preserve">Ergebnis: </w:t>
      </w:r>
      <w:r>
        <w:t>Die Interventionsgruppe erreichte höhere Wissens-Einstellungs-Praktiken-Scores (80,8±5,6 vs. 63,4±6,9; p&lt;0,001), bessere Stillselbstwirksamkeit (58,2±4,8 vs. 48,6±5,4; p&lt;0,001) und signifikant höhere Quote ausschließlichen Stillens nach 6 Monaten (55,9% vs. 31,6%; p&lt;0,001); Morbidität (Brustwarzentrauma, Stauung, Mastitis) war deutlich reduziert (alle p&lt;0,01). Expositionsgruppe zeigte unabhängig erhöhte Chancen für Stillen nach 6 Monaten (adjustierte OR 2,84; 95%-CI 1,98–4,07).</w:t>
      </w:r>
    </w:p>
    <w:p>
      <w:r>
        <w:rPr>
          <w:b/>
          <w:sz w:val="19"/>
        </w:rPr>
        <w:t xml:space="preserve">Übertragbarkeit: </w:t>
      </w:r>
      <w:r>
        <w:rPr>
          <w:sz w:val="19"/>
        </w:rPr>
        <w:t>China - Aussagen zur Stillförderung durch Wissen und Selbstwirksamkeit kulturunabhängig, Schulungsformat anpassbar</w:t>
      </w:r>
    </w:p>
    <w:p>
      <w:r>
        <w:rPr>
          <w:color w:val="5A7D3A"/>
          <w:sz w:val="18"/>
        </w:rPr>
        <w:t>https://pubmed.ncbi.nlm.nih.gov/42862704/</w:t>
      </w:r>
    </w:p>
    <w:p>
      <w:pPr>
        <w:pStyle w:val="Heading2"/>
      </w:pPr>
      <w:r>
        <w:t>Patientenbeteiligung in Forschung gelingt – braucht aber Struktur und kontinuierliche Information</w:t>
      </w:r>
    </w:p>
    <w:p>
      <w:r>
        <w:rPr>
          <w:i/>
          <w:color w:val="666666"/>
          <w:sz w:val="18"/>
        </w:rPr>
        <w:t>Reeck N et al.  ·  Health Expect  ·  Okt. 2026  ·  PMID 42861438</w:t>
      </w:r>
    </w:p>
    <w:p>
      <w:r>
        <w:t>Qualitative Evaluationsstudie zur Beteiligung von 8 älteren Forschungskollaborateuren mit Sturzerfahrung über 3 Jahre mit dem Public and Patient Engagement Evaluation Tool (PPEET) und Prozessdokumentation.</w:t>
      </w:r>
    </w:p>
    <w:p>
      <w:r>
        <w:rPr>
          <w:b/>
        </w:rPr>
        <w:t xml:space="preserve">Ergebnis: </w:t>
      </w:r>
      <w:r>
        <w:t>8 ältere Personen, 29 Sitzungen über 3 Jahre. Positive Atmosphäre, aber initial Unklarheit über Ziele. Gesundheitsbedingte Ausfälle führten zur Aufnahme von 3 neuen Mitgliedern. PRT beeinflusste mehrere Forschungsphasen (z.B. Fokusgruppenmethode). Kernbefunde: Persönlicher Zugang, Zeit für Erfahrungsaustausch und kontinuierliche Information als kritische Erfolgsfaktoren; infrastrukturelle Unterstützung war vorhanden, aber Informationsstrukturen für Mitglieder müssen gestärkt werden.</w:t>
      </w:r>
    </w:p>
    <w:p>
      <w:r>
        <w:rPr>
          <w:b/>
          <w:sz w:val="19"/>
        </w:rPr>
        <w:t xml:space="preserve">Übertragbarkeit: </w:t>
      </w:r>
      <w:r>
        <w:rPr>
          <w:sz w:val="19"/>
        </w:rPr>
        <w:t>Deutschland, vergleichbares System – partizipative Forschung übertragbar, erfordert aber Kontinuität und klare Rollen</w:t>
      </w:r>
    </w:p>
    <w:p>
      <w:r>
        <w:rPr>
          <w:color w:val="5A7D3A"/>
          <w:sz w:val="18"/>
        </w:rPr>
        <w:t>https://pubmed.ncbi.nlm.nih.gov/42861438/</w:t>
      </w:r>
    </w:p>
    <w:p>
      <w:pPr>
        <w:pStyle w:val="Heading2"/>
      </w:pPr>
      <w:r>
        <w:t>Gesundheitskompetenz korreliert schwach mit Lebensqualität – Organisationsebene entscheidend</w:t>
      </w:r>
    </w:p>
    <w:p>
      <w:r>
        <w:rPr>
          <w:i/>
          <w:color w:val="666666"/>
          <w:sz w:val="18"/>
        </w:rPr>
        <w:t>Mostoles RJ et al.  ·  J Nurs Manag  ·  2026  ·  PMID 42860772</w:t>
      </w:r>
    </w:p>
    <w:p>
      <w:r>
        <w:t>Querschnittsstudie mit 215 Dialysepatienten in Saudi-Arabien zur Assoziation von Health Literacy und wahrgenommener Familienunterstützung mit nierenbezogener Lebensqualität sowie Implikationen für Pflegeleitung.</w:t>
      </w:r>
    </w:p>
    <w:p>
      <w:r>
        <w:rPr>
          <w:b/>
        </w:rPr>
        <w:t xml:space="preserve">Ergebnis: </w:t>
      </w:r>
      <w:r>
        <w:t>Health Literacy war einziger signifikanter Prädiktor (β=0,19; p=0,012), erklärte aber &lt;7% der Lebensqualitätsvarianz (R²=0,068). Wahrgenommene Familienunterstützung war an der Decke (M=6,99/7,0) und nicht assoziiert (r=−0,09; p=0,188). 91,7% der Patienten hatten geringe Health Literacy; 81,9% wählten verbale statt schriftlicher Information während Dialyse. Schlussfolgerung: Organisatorische Maßnahmen (universelles Teach-Back, Plain Language, Visualisierung) statt Individualinterventionen erforderlich.</w:t>
      </w:r>
    </w:p>
    <w:p>
      <w:r>
        <w:rPr>
          <w:b/>
          <w:sz w:val="19"/>
        </w:rPr>
        <w:t xml:space="preserve">Übertragbarkeit: </w:t>
      </w:r>
      <w:r>
        <w:rPr>
          <w:sz w:val="19"/>
        </w:rPr>
        <w:t>Saudi-Arabien – Strukturelle Unterschiede (Familienzentrierung, Ressourcen), aber Befund zu organisatorischer Verantwortung übertragbar</w:t>
      </w:r>
    </w:p>
    <w:p>
      <w:r>
        <w:rPr>
          <w:color w:val="5A7D3A"/>
          <w:sz w:val="18"/>
        </w:rPr>
        <w:t>https://pubmed.ncbi.nlm.nih.gov/42860772/</w:t>
      </w:r>
    </w:p>
    <w:p>
      <w:pPr>
        <w:pStyle w:val="Heading2"/>
      </w:pPr>
      <w:r>
        <w:t>Health-Literacy-Interventionsstudien sind lückenhaft – standardisierte Messung und Implementierungsberichte fehlen</w:t>
      </w:r>
    </w:p>
    <w:p>
      <w:r>
        <w:rPr>
          <w:i/>
          <w:color w:val="666666"/>
          <w:sz w:val="18"/>
        </w:rPr>
        <w:t>Zhou Y et al.  ·  Health Lit Res Pract  ·  09.10.2026  ·  PMID 42858454</w:t>
      </w:r>
    </w:p>
    <w:p>
      <w:r>
        <w:t>Scoping Review von 117 US-amerikanischen Interventionsstudien (2014–2024) zur Kartierung von Health-Literacy-Messinstrumenten, Implementierungsqualität und Reporting-Praktiken nach RE-AIM-Rahmen.</w:t>
      </w:r>
    </w:p>
    <w:p>
      <w:r>
        <w:rPr>
          <w:b/>
        </w:rPr>
        <w:t xml:space="preserve">Ergebnis: </w:t>
      </w:r>
      <w:r>
        <w:t>71 von 117 Studien berichteten Health-Literacy-Messung; nur 49 nutzten validierte Instrumente. Am häufigsten: Newest Vital Sign, eHealth Literacy Scale, RE-AIM. Trotz starker Repräsentation von Rassen-/Ethnien begrenzte Einbindung von Nicht-Englischsprachigen. Nahezu alle Studien zeigten Effektivität; vorwiegend Verhaltensoutcomes gemessen. RE-AIM-Analyse: erhebliche Lücken in Demografica, Implementierungstreue (nur 18%), Kostenberichte und Nachhaltigkeitsplanung (&lt;10%). Schlussfolgerung: fehlende Standardisierung in Messung und Implementierungsberichte limitieren Vergleichbarkeit und Praxisübertrag.</w:t>
      </w:r>
    </w:p>
    <w:p>
      <w:r>
        <w:rPr>
          <w:b/>
          <w:sz w:val="19"/>
        </w:rPr>
        <w:t xml:space="preserve">Übertragbarkeit: </w:t>
      </w:r>
      <w:r>
        <w:rPr>
          <w:sz w:val="19"/>
        </w:rPr>
        <w:t>USA – Systematische Bewertung übertragbar, aber Tools müssen sprachspezifisch validiert werden</w:t>
      </w:r>
    </w:p>
    <w:p>
      <w:r>
        <w:rPr>
          <w:color w:val="5A7D3A"/>
          <w:sz w:val="18"/>
        </w:rPr>
        <w:t>https://pubmed.ncbi.nlm.nih.gov/42858454/</w:t>
      </w:r>
    </w:p>
    <w:p>
      <w:pPr>
        <w:pStyle w:val="Heading2"/>
      </w:pPr>
      <w:r>
        <w:t>Arztstatus und Einrichtung erklären Studienteilnahme stärker als Patienten-Merkmale</w:t>
      </w:r>
    </w:p>
    <w:p>
      <w:r>
        <w:rPr>
          <w:i/>
          <w:color w:val="666666"/>
          <w:sz w:val="18"/>
        </w:rPr>
        <w:t>Jiang C et al.  ·  JAMA Netw Open  ·  01.10.2026  ·  PMID 42837155</w:t>
      </w:r>
    </w:p>
    <w:p>
      <w:r>
        <w:t>Kohortenstudie mit 205.743 amerikanischen Krebspatienten mit fortgeschrittener/metastasierter Erkrankung (2011–2024) zur Analyse von Variationsquellen in Studienteilnahme mittels gemischter logistischer Regressionsmodelle.</w:t>
      </w:r>
    </w:p>
    <w:p>
      <w:r>
        <w:rPr>
          <w:b/>
        </w:rPr>
        <w:t xml:space="preserve">Ergebnis: </w:t>
      </w:r>
      <w:r>
        <w:t>10.785 Patienten (5,2%) nahmen an Studien teil; Quote stieg von 3,9% (2011) auf 6,8% (2024). Teilnahme stark konzentriert: 389 von 1.664 Ärzten (23,4%) erklären 83,6% aller Anmeldungen; 21 von 107 Einrichtungen (19,6%) 80,5% der Patienten. 494 Ärzte (29,7%) rekrutierten niemandem. Arzt- und Einrichtungsebene erklärten zusammen 27,4% der Varianz, Patientenmerkmale nur 11,4%. Spezialisierung des Arztes (1–2 Indikationen: OR 4,11; 95%-CI 2,53–6,68), frühere Rekrutierungsaktivität (OR 1,58; 95%-CI 1,43–1,76) und Forschungsengagement der Einrichtung (OR 2,68; 95%-CI 2,12–3,39) zeigten höchste Assoziationen.</w:t>
      </w:r>
    </w:p>
    <w:p>
      <w:r>
        <w:rPr>
          <w:b/>
          <w:sz w:val="19"/>
        </w:rPr>
        <w:t xml:space="preserve">Übertragbarkeit: </w:t>
      </w:r>
      <w:r>
        <w:rPr>
          <w:sz w:val="19"/>
        </w:rPr>
        <w:t>USA – Struktur und Organisationskontext universal, aber Gesundheitssystem und Rekrutierungserwartungen andersartig</w:t>
      </w:r>
    </w:p>
    <w:p>
      <w:r>
        <w:rPr>
          <w:color w:val="5A7D3A"/>
          <w:sz w:val="18"/>
        </w:rPr>
        <w:t>https://pubmed.ncbi.nlm.nih.gov/42837155/</w:t>
      </w:r>
    </w:p>
    <w:p>
      <w:pPr>
        <w:pStyle w:val="Heading1"/>
      </w:pPr>
      <w:r>
        <w:t>Aufgenommen am 12.10.2026</w:t>
      </w:r>
    </w:p>
    <w:p>
      <w:pPr>
        <w:pStyle w:val="Heading2"/>
      </w:pPr>
      <w:r>
        <w:t>Digitale Kompetenz fördert Gesundheit älterer Menschen über Sozialbeziehungen</w:t>
      </w:r>
    </w:p>
    <w:p>
      <w:r>
        <w:rPr>
          <w:i/>
          <w:color w:val="666666"/>
          <w:sz w:val="18"/>
        </w:rPr>
        <w:t>Qi MH et al.  ·  Inquiry  ·  11.10.2026  ·  PMID 42859872</w:t>
      </w:r>
    </w:p>
    <w:p>
      <w:r>
        <w:t>Querschnittstudie mit chinesischen Daten (n nicht genannt) zur Assoziation zwischen digitaler Literacy und physischer/psychischer Gesundheit, mit Sozialinteraktion als Mediator (Kausalitätsrahmen: digitale Technologie→Sozialbeziehungen→Gesundheit).</w:t>
      </w:r>
    </w:p>
    <w:p>
      <w:r>
        <w:rPr>
          <w:b/>
        </w:rPr>
        <w:t xml:space="preserve">Ergebnis: </w:t>
      </w:r>
      <w:r>
        <w:t>Digitale Literacy war signifikant positiv mit physischer und psychischer Gesundheit assoziiert; Sozialinteraktion mediierte diese Assoziation bedeutsam. Heterogenitätsanalysen zeigten geschlechtsspezifische Muster: bei Männern Assoziation zur physischen Gesundheit signifikant, bei Frauen zur psychischen Gesundheit; urbaner/ruraler Status hatte keinen signifikanten Unterschied.</w:t>
      </w:r>
    </w:p>
    <w:p>
      <w:r>
        <w:rPr>
          <w:b/>
          <w:sz w:val="19"/>
        </w:rPr>
        <w:t xml:space="preserve">Übertragbarkeit: </w:t>
      </w:r>
      <w:r>
        <w:rPr>
          <w:sz w:val="19"/>
        </w:rPr>
        <w:t>China (CHARLS 2020), aber Mechanismus (digitale Kompetenz→Sozialaktivität→Gesundheit) in Alterungskontexten international relevant.</w:t>
      </w:r>
    </w:p>
    <w:p>
      <w:r>
        <w:rPr>
          <w:color w:val="5A7D3A"/>
          <w:sz w:val="18"/>
        </w:rPr>
        <w:t>https://pubmed.ncbi.nlm.nih.gov/42859872/</w:t>
      </w:r>
    </w:p>
    <w:p>
      <w:pPr>
        <w:pStyle w:val="Heading2"/>
      </w:pPr>
      <w:r>
        <w:t>Webgestützte Schulung verbessert Symptomkontrolle bei häuslicher Beatmung</w:t>
      </w:r>
    </w:p>
    <w:p>
      <w:r>
        <w:rPr>
          <w:i/>
          <w:color w:val="666666"/>
          <w:sz w:val="18"/>
        </w:rPr>
        <w:t>Eriş Ş et al.  ·  Sleep Breath  ·  10.10.2026  ·  PMID 42859312</w:t>
      </w:r>
    </w:p>
    <w:p>
      <w:r>
        <w:t>Randomisierte Studie zur Wirkung einer webgestützten Schulung auf NIV-bezogene Nebenwirkungen und Schlafqualität bei COPD-Patienten mit häuslicher Heimbeatmung (n=75).</w:t>
      </w:r>
    </w:p>
    <w:p>
      <w:r>
        <w:rPr>
          <w:b/>
        </w:rPr>
        <w:t xml:space="preserve">Ergebnis: </w:t>
      </w:r>
      <w:r>
        <w:t>In der Interventionsgruppe sanken die Schlafstörungen (Insomnia Severity Index) signifikant stärker ab als in der Kontrolle (p&lt;0,001, η²p=0,352); bei Woche 8 zeigten sich signifikante Unterschiede zwischen den Gruppen (p&lt;0,001, η²p=0,753 für Gesamt-S³-NIV-Scores). Webgestützte Bildung unterstützte die Symptombewältigung und Patientenanpassung nachweislich.</w:t>
      </w:r>
    </w:p>
    <w:p>
      <w:r>
        <w:rPr>
          <w:b/>
          <w:sz w:val="19"/>
        </w:rPr>
        <w:t xml:space="preserve">Übertragbarkeit: </w:t>
      </w:r>
      <w:r>
        <w:rPr>
          <w:sz w:val="19"/>
        </w:rPr>
        <w:t>Türkei, aber RCT-Design und strukturierte digitale Schulung sind systemunabhängig übertragbar.</w:t>
      </w:r>
    </w:p>
    <w:p>
      <w:r>
        <w:rPr>
          <w:color w:val="5A7D3A"/>
          <w:sz w:val="18"/>
        </w:rPr>
        <w:t>https://pubmed.ncbi.nlm.nih.gov/42859312/</w:t>
      </w:r>
    </w:p>
    <w:p>
      <w:pPr>
        <w:pStyle w:val="Heading2"/>
      </w:pPr>
      <w:r>
        <w:t>Ernährungsschulung reduziert Schlafstörungen unter Chemotherapie</w:t>
      </w:r>
    </w:p>
    <w:p>
      <w:r>
        <w:rPr>
          <w:i/>
          <w:color w:val="666666"/>
          <w:sz w:val="18"/>
        </w:rPr>
        <w:t>Cheng L et al.  ·  Support Care Cancer  ·  10.10.2026  ·  PMID 42859245</w:t>
      </w:r>
    </w:p>
    <w:p>
      <w:r>
        <w:t>RCT zur Wirkung einer 12-wöchigen Schulung zu entzündungshemmender Ernährung auf Schlafqualität bei 132 Brustkrebspatienten unter Chemotherapie.</w:t>
      </w:r>
    </w:p>
    <w:p>
      <w:r>
        <w:rPr>
          <w:b/>
        </w:rPr>
        <w:t xml:space="preserve">Ergebnis: </w:t>
      </w:r>
      <w:r>
        <w:t>Im Kompleteranalyse-Datensatz zeigten 49,2% der Interventionsgruppe vs. 78,9% der Kontrolle Schlafstörungen (p&lt;0,001); PSQI-Score sank um β=-2,10 (95%-KI: -3,01 bis -1,18; p&lt;0,001), Lebensqualität verbesserte sich um β=14,07 (95%-KI: 8,61–19,52; p&lt;0,001). Strukturierte Patientenschulung mit klaren Inhalten änderte Verhalten messbar.</w:t>
      </w:r>
    </w:p>
    <w:p>
      <w:r>
        <w:rPr>
          <w:b/>
          <w:sz w:val="19"/>
        </w:rPr>
        <w:t xml:space="preserve">Übertragbarkeit: </w:t>
      </w:r>
      <w:r>
        <w:rPr>
          <w:sz w:val="19"/>
        </w:rPr>
        <w:t>China, aber evidenzbasierte Schulungsstruktur und schriftliche Materialien sind kulturübergreifend adaptierbar.</w:t>
      </w:r>
    </w:p>
    <w:p>
      <w:r>
        <w:rPr>
          <w:color w:val="5A7D3A"/>
          <w:sz w:val="18"/>
        </w:rPr>
        <w:t>https://pubmed.ncbi.nlm.nih.gov/42859245/</w:t>
      </w:r>
    </w:p>
    <w:p>
      <w:pPr>
        <w:pStyle w:val="Heading2"/>
      </w:pPr>
      <w:r>
        <w:t>Gesundheitskompetenz stärkt erfolgreiches Altern bei älteren Patienten</w:t>
      </w:r>
    </w:p>
    <w:p>
      <w:r>
        <w:rPr>
          <w:i/>
          <w:color w:val="666666"/>
          <w:sz w:val="18"/>
        </w:rPr>
        <w:t>Ibrahim HS et al.  ·  BMC Public Health  ·  09.10.2026  ·  PMID 42855688</w:t>
      </w:r>
    </w:p>
    <w:p>
      <w:r>
        <w:t>Querschnittstudie (n=246, 123 chronisch krank, 123 gesund, Alter ≥65 Jahre) zur Assoziation zwischen Gesundheitskompetenz und erfolgreichem Altern mittels Health Literacy Questionnaire und Successful Aging Scale.</w:t>
      </w:r>
    </w:p>
    <w:p>
      <w:r>
        <w:rPr>
          <w:b/>
        </w:rPr>
        <w:t xml:space="preserve">Ergebnis: </w:t>
      </w:r>
      <w:r>
        <w:t>Patienten mit chronischen Erkrankungen zeigten signifikant niedrigere Gesundheitskompetenz- und erfolgreiches-Altern-Scores als Kontrollen (p&lt;0,001). Gesundheitskompetenz korrelierte positiv mit erfolgreichem Altern (r=0,612, p&lt;0,001) und war der stärkste unabhängige Prädiktor in der Regressionsanalyse; höhere Bildung und Einkommen verbesserten erfolgreiches Altern, Alter, ländlicher Wohnort und Rauchen verschlechterten es.</w:t>
      </w:r>
    </w:p>
    <w:p>
      <w:r>
        <w:rPr>
          <w:b/>
          <w:sz w:val="19"/>
        </w:rPr>
        <w:t xml:space="preserve">Übertragbarkeit: </w:t>
      </w:r>
      <w:r>
        <w:rPr>
          <w:sz w:val="19"/>
        </w:rPr>
        <w:t>Ägypten, aber etablierte Instrumente und Befund (Health Literacy→Aging Outcomes) für Europa/Deutschland adaptierbar.</w:t>
      </w:r>
    </w:p>
    <w:p>
      <w:r>
        <w:rPr>
          <w:color w:val="5A7D3A"/>
          <w:sz w:val="18"/>
        </w:rPr>
        <w:t>https://pubmed.ncbi.nlm.nih.gov/42855688/</w:t>
      </w:r>
    </w:p>
    <w:p>
      <w:pPr>
        <w:pStyle w:val="Heading2"/>
      </w:pPr>
      <w:r>
        <w:t>Zielgruppengerechte Risikokommunikation zu Dopingmitteln in Fitnessstudios</w:t>
      </w:r>
    </w:p>
    <w:p>
      <w:r>
        <w:rPr>
          <w:i/>
          <w:color w:val="666666"/>
          <w:sz w:val="18"/>
        </w:rPr>
        <w:t>Paasch R et al.  ·  Harm Reduct J  ·  23.09.2026  ·  PMID 42823728</w:t>
      </w:r>
    </w:p>
    <w:p>
      <w:r>
        <w:t>Querschnittstudie (n=550 Freizeitsportler) zur Replikation einer 7-Cluster-Typologie von Einstellungen zu Dopingmitteln mittels Theory of Planned Behavior und Health Belief Model, mit qualitativen Illustrationen.</w:t>
      </w:r>
    </w:p>
    <w:p>
      <w:r>
        <w:rPr>
          <w:b/>
        </w:rPr>
        <w:t xml:space="preserve">Ergebnis: </w:t>
      </w:r>
      <w:r>
        <w:t>Sieben heterogene Motivations- und kognitiv-motivationale Profile identifiziert (Silhouetten-Index=0,22, Bootstrap-Stabilität moderat); signifikante Assoziationen mit Anabolika- und Testosterongebrauch, aber nicht mit Wachstumshormonen. Profile zeigen 'Werteabstainer', 'ambivalente Risikonehmer' und 'Leistungsrationaliserer' – heterogene Präventionebedarfe statt Risikokontinuum.</w:t>
      </w:r>
    </w:p>
    <w:p>
      <w:r>
        <w:rPr>
          <w:b/>
          <w:sz w:val="19"/>
        </w:rPr>
        <w:t xml:space="preserve">Übertragbarkeit: </w:t>
      </w:r>
      <w:r>
        <w:rPr>
          <w:sz w:val="19"/>
        </w:rPr>
        <w:t>Deutschland, deutschsprachige Fitnessstudio-Population; Typologien für zielgruppengenaue Harm-Reduction-Kommunikation direkt einsetzbar.</w:t>
      </w:r>
    </w:p>
    <w:p>
      <w:r>
        <w:rPr>
          <w:color w:val="5A7D3A"/>
          <w:sz w:val="18"/>
        </w:rPr>
        <w:t>https://pubmed.ncbi.nlm.nih.gov/42823728/</w:t>
      </w:r>
    </w:p>
    <w:p>
      <w:pPr>
        <w:pStyle w:val="Heading2"/>
      </w:pPr>
      <w:r>
        <w:t>Künstliche Sprachmodelle liefern präzise, aber unpersonalisierte Patienteninformationen</w:t>
      </w:r>
    </w:p>
    <w:p>
      <w:r>
        <w:rPr>
          <w:i/>
          <w:color w:val="666666"/>
          <w:sz w:val="18"/>
        </w:rPr>
        <w:t>Li J et al.  ·  Front Public Health  ·  15.09.2026  ·  PMID 42812281</w:t>
      </w:r>
    </w:p>
    <w:p>
      <w:r>
        <w:t>Vergleichende Bewertung von sechs Large Language Models (ChatGPT, Claude, DeepSeek, Gemini, Grok, Qwen) bei der Beantwortung von 40 Patientenfragen zu Achalasie (n=240 Responses) anhand von Sicherheit, Genauigkeit, Empathie, Informationsqualität und Lesbarkeit.</w:t>
      </w:r>
    </w:p>
    <w:p>
      <w:r>
        <w:rPr>
          <w:b/>
        </w:rPr>
        <w:t xml:space="preserve">Ergebnis: </w:t>
      </w:r>
      <w:r>
        <w:t>27 von 240 Responses (11,3%) als potenziell unsicher bewertet; Genauigkeit unterschied sich signifikant zwischen Modellen (kleiner Effekt). Größere Unterschiede in Empathie, Informationszuverlässigkeit und Lesbarkeit: ChatGPT 5.5 und Gemini 3.1 Pro Thinking erreichten höhere Empathie-Scores, Claude Opus 4.7 zeigte höhere Lesbarkeit-Schwierigkeit. JAMA-Benchmark-Scores waren insgesamt niedrig (mangelhafte Quellenangaben).</w:t>
      </w:r>
    </w:p>
    <w:p>
      <w:r>
        <w:rPr>
          <w:b/>
          <w:sz w:val="19"/>
        </w:rPr>
        <w:t xml:space="preserve">Übertragbarkeit: </w:t>
      </w:r>
      <w:r>
        <w:rPr>
          <w:sz w:val="19"/>
        </w:rPr>
        <w:t>China, aber Evaluationsmethodik (Sicherheit/Genauigkeit/Empathie/Transparenz) für LLM-basierte Patienteninformation international anwendbar.</w:t>
      </w:r>
    </w:p>
    <w:p>
      <w:r>
        <w:rPr>
          <w:color w:val="5A7D3A"/>
          <w:sz w:val="18"/>
        </w:rPr>
        <w:t>https://pubmed.ncbi.nlm.nih.gov/42812281/</w:t>
      </w:r>
    </w:p>
    <w:p>
      <w:pPr>
        <w:pStyle w:val="Heading1"/>
      </w:pPr>
      <w:r>
        <w:t>Aufgenommen am 11.10.2026</w:t>
      </w:r>
    </w:p>
    <w:p>
      <w:pPr>
        <w:pStyle w:val="Heading2"/>
      </w:pPr>
      <w:r>
        <w:t>Digital-gestützte Verhaltenstherapie gegen Schmerz bei Sichelzellerkrankung: Bedeutung der menschlichen Unterstützung</w:t>
      </w:r>
    </w:p>
    <w:p>
      <w:r>
        <w:rPr>
          <w:i/>
          <w:color w:val="666666"/>
          <w:sz w:val="18"/>
        </w:rPr>
        <w:t>Oluwole OB et al.  ·  Ann Behav Med  ·  07.01.2026  ·  PMID 42847392</w:t>
      </w:r>
    </w:p>
    <w:p>
      <w:r>
        <w:t>Randomisierte 12-Monats-Studie mit 359 Erwachsenen zu digitaler kognitiver Verhaltenstherapie versus Edukation für chronische Schmerzen bei Sichelzellerkrankung, beide mit wöchentlicher Health-Coach-Begleitung.</w:t>
      </w:r>
    </w:p>
    <w:p>
      <w:r>
        <w:rPr>
          <w:b/>
        </w:rPr>
        <w:t xml:space="preserve">Ergebnis: </w:t>
      </w:r>
      <w:r>
        <w:t>Nach 12 Monaten: 56,5% Follow-up-Quote (n=203). Keine signifikanten Unterschiede in Schmerzinterferenz zwischen Gruppen [0,43, 95%-KI: -1,61 bis 2,48; p=0,68]. Beide Gruppen zeigten anhaltende Verbesserung von Baseline (CBT: -1,50; Edukation: -1,93). CBT-Gruppe: größere Verbesserung in emotionaler Belastung [2,00, 95%-KI: 0,12-3,88; p=0,04]. Höheres Health-Coach-Engagement assoziiert mit reduzierter Schmerzinterferenz [-0,073 pro 10% Engagement-Anstieg; p&lt;0,01].</w:t>
      </w:r>
    </w:p>
    <w:p>
      <w:r>
        <w:rPr>
          <w:b/>
          <w:sz w:val="19"/>
        </w:rPr>
        <w:t xml:space="preserve">Übertragbarkeit: </w:t>
      </w:r>
      <w:r>
        <w:rPr>
          <w:sz w:val="19"/>
        </w:rPr>
        <w:t>USA, aber Wirkung menschlicher Begleitung in digitalen Interventionen universal.</w:t>
      </w:r>
    </w:p>
    <w:p>
      <w:r>
        <w:rPr>
          <w:color w:val="5A7D3A"/>
          <w:sz w:val="18"/>
        </w:rPr>
        <w:t>https://pubmed.ncbi.nlm.nih.gov/42847392/</w:t>
      </w:r>
    </w:p>
    <w:p>
      <w:pPr>
        <w:pStyle w:val="Heading2"/>
      </w:pPr>
      <w:r>
        <w:t>Pflegende und organisationale Health Literacy: Wie Kliniken Information zugänglich machen</w:t>
      </w:r>
    </w:p>
    <w:p>
      <w:r>
        <w:rPr>
          <w:i/>
          <w:color w:val="666666"/>
          <w:sz w:val="18"/>
        </w:rPr>
        <w:t>Smith GD et al.  ·  Front Public Health  ·  23.09.2026  ·  PMID 42846350</w:t>
      </w:r>
    </w:p>
    <w:p>
      <w:r>
        <w:t>Konzeptuelle Analyse mit fokussierter Mini-Literaturübersicht zu Rolle von Pflegenden bei organisationaler Health Literacy in Kliniken und Praxen.</w:t>
      </w:r>
    </w:p>
    <w:p>
      <w:r>
        <w:rPr>
          <w:b/>
        </w:rPr>
        <w:t xml:space="preserve">Ergebnis: </w:t>
      </w:r>
      <w:r>
        <w:t>Organisationale Health Literacy (statt Individual-Ebene) adressiert, wie Organisationen Information, Services und Care Pathways zugänglich und verständlich machen. Pflegende leisten Beitrag durch: klare Kommunikation, Care Navigation, Shared Decision-Making, Co-Design von Informationsmaterialien, Qualitätsverbesserung, HL-sensitive Systeme. Mapping von Nutbeams HL-Ebenen (funktional, interaktiv, kritisch) auf Organisationsverantwortung gezeigt. Erforderlich: Führungsunterstützung, Personalentwicklung, Assessments, Partnerschaften mit Patienten, Integration in Qualitäts- und Akkreditierungsstrukturen.</w:t>
      </w:r>
    </w:p>
    <w:p>
      <w:r>
        <w:rPr>
          <w:b/>
          <w:sz w:val="19"/>
        </w:rPr>
        <w:t xml:space="preserve">Übertragbarkeit: </w:t>
      </w:r>
      <w:r>
        <w:rPr>
          <w:sz w:val="19"/>
        </w:rPr>
        <w:t>International konzeptuell; Organisationsprinzipien auf deutsches Klinik- und Praxissystem übertragbar.</w:t>
      </w:r>
    </w:p>
    <w:p>
      <w:r>
        <w:rPr>
          <w:color w:val="5A7D3A"/>
          <w:sz w:val="18"/>
        </w:rPr>
        <w:t>https://pubmed.ncbi.nlm.nih.gov/42846350/</w:t>
      </w:r>
    </w:p>
    <w:p>
      <w:pPr>
        <w:pStyle w:val="Heading2"/>
      </w:pPr>
      <w:r>
        <w:t>Familie und soziale Unterstützung fördern Health Literacy bei chronischer Erkrankung</w:t>
      </w:r>
    </w:p>
    <w:p>
      <w:r>
        <w:rPr>
          <w:i/>
          <w:color w:val="666666"/>
          <w:sz w:val="18"/>
        </w:rPr>
        <w:t>Zhang H et al.  ·  Front Public Health  ·  23.09.2026  ·  PMID 42845865</w:t>
      </w:r>
    </w:p>
    <w:p>
      <w:r>
        <w:t>Querschnittsstudie mit 1.444 chinesischen Personen mittleren und höheren Alters mit chronischer Erkrankung zu Zusammenhang von Familiengesundheit, wahrgenommener sozialer Unterstützung und Health Literacy mittels Mediations- und Netzwerkanalyse.</w:t>
      </w:r>
    </w:p>
    <w:p>
      <w:r>
        <w:rPr>
          <w:b/>
        </w:rPr>
        <w:t xml:space="preserve">Ergebnis: </w:t>
      </w:r>
      <w:r>
        <w:t>Familie, soziale Unterstützung und Health Literacy signifikant positiv korreliert (p&lt;0,01). Soziale Unterstützung teilweise Mediator im Zusammenhang Familie-Literacy (indirekter Effekt=0,1818, 95%-KI: 0,1331-0,2307), erklärt 47,38% der Gesamtwirkung. "Family Social and Emotional Health Processes" höchster Zentralitätswert im Netzwerk. Struktur unterschied sich nicht zwischen Geschlecht, urban-rural oder Altersgruppen.</w:t>
      </w:r>
    </w:p>
    <w:p>
      <w:r>
        <w:rPr>
          <w:b/>
          <w:sz w:val="19"/>
        </w:rPr>
        <w:t xml:space="preserve">Übertragbarkeit: </w:t>
      </w:r>
      <w:r>
        <w:rPr>
          <w:sz w:val="19"/>
        </w:rPr>
        <w:t>China, aber Mechanismus familiärer und sozialer Schutzfaktoren für Gesundheitskompetenz auch in Deutschland relevant.</w:t>
      </w:r>
    </w:p>
    <w:p>
      <w:r>
        <w:rPr>
          <w:color w:val="5A7D3A"/>
          <w:sz w:val="18"/>
        </w:rPr>
        <w:t>https://pubmed.ncbi.nlm.nih.gov/42845865/</w:t>
      </w:r>
    </w:p>
    <w:p>
      <w:pPr>
        <w:pStyle w:val="Heading2"/>
      </w:pPr>
      <w:r>
        <w:t>Digital Health Literacy verstärkt Wirkung von Sportumgebung auf Bewegungsaktivität von Jugendlichen</w:t>
      </w:r>
    </w:p>
    <w:p>
      <w:r>
        <w:rPr>
          <w:i/>
          <w:color w:val="666666"/>
          <w:sz w:val="18"/>
        </w:rPr>
        <w:t>Zhang B  ·  Front Public Health  ·  23.09.2026  ·  PMID 42845756</w:t>
      </w:r>
    </w:p>
    <w:p>
      <w:r>
        <w:t>Querschnittstudie mit 2.531 chinesischen Jugendlichen (Durchschnitt 15,2 Jahre) zu Moderationseffekt von digitaler Health Literacy auf Zusammenhang zwischen Schulsportumgebung und körperliche Aktivität (SEM mit latenter Interaktion).</w:t>
      </w:r>
    </w:p>
    <w:p>
      <w:r>
        <w:rPr>
          <w:b/>
        </w:rPr>
        <w:t xml:space="preserve">Ergebnis: </w:t>
      </w:r>
      <w:r>
        <w:t>Schulsportumgebung positiv mit Aktivität assoziiert (β=0,34, p&lt;0,001). Digitale Health Literacy moderierte signifikant (Interaktion β=0,12, p=0,003): Umgebung-Aktivitäts-Pfad stärker bei höherer DHL. Effekt in Stadtschulen (β=0,38) stärker als Landschulen (β=0,29; z=2,87, p=0,004). Moderation signifikant in Urban (β=0,14, p=0,008), nicht in Rural (β=0,07, p=0,14). Digitale Ungleichheiten können zu Bewegungsungleichheiten beitragen.</w:t>
      </w:r>
    </w:p>
    <w:p>
      <w:r>
        <w:rPr>
          <w:b/>
          <w:sz w:val="19"/>
        </w:rPr>
        <w:t xml:space="preserve">Übertragbarkeit: </w:t>
      </w:r>
      <w:r>
        <w:rPr>
          <w:sz w:val="19"/>
        </w:rPr>
        <w:t>China, aber Stadt-Land-Disparität und Moderationseffekt digital-sozialer Faktoren auch auf Deutschland übertragbar.</w:t>
      </w:r>
    </w:p>
    <w:p>
      <w:r>
        <w:rPr>
          <w:color w:val="5A7D3A"/>
          <w:sz w:val="18"/>
        </w:rPr>
        <w:t>https://pubmed.ncbi.nlm.nih.gov/42845756/</w:t>
      </w:r>
    </w:p>
    <w:p>
      <w:pPr>
        <w:pStyle w:val="Heading2"/>
      </w:pPr>
      <w:r>
        <w:t>Selbstmanagement bei Nierenerkrankung: Was Fachpersonal über Unterstützung weiß</w:t>
      </w:r>
    </w:p>
    <w:p>
      <w:r>
        <w:rPr>
          <w:i/>
          <w:color w:val="666666"/>
          <w:sz w:val="18"/>
        </w:rPr>
        <w:t>Patel NA et al.  ·  J Nephrol  ·  10.10.2026  ·  PMID 42598916</w:t>
      </w:r>
    </w:p>
    <w:p>
      <w:r>
        <w:t>Qualitative Studie mit 42 britischen Fachpersonen zur Unterstützung von Selbstmanagement bei chronischer Nierenerkrankung.</w:t>
      </w:r>
    </w:p>
    <w:p>
      <w:r>
        <w:rPr>
          <w:b/>
        </w:rPr>
        <w:t xml:space="preserve">Ergebnis: </w:t>
      </w:r>
      <w:r>
        <w:t>Vier Themenbereiche identifiziert: (1) Gesundheitssystem unterstützt Selbstmanagement nicht ausreichend, (2) Bedarf für individualisierte Ansätze, (3) Verbesserung von Ressourcen nötig, (4) Anforderungen für Gesundheitsgerechtigkeit. Fachpersonal berichtet mangelnde, zugängliche Selbstmanagement-Ressourcen und fordert evidenzbasierte, auf individuelle Bedürfnisse zugeschnittene Interventionen.</w:t>
      </w:r>
    </w:p>
    <w:p>
      <w:r>
        <w:rPr>
          <w:b/>
          <w:sz w:val="19"/>
        </w:rPr>
        <w:t xml:space="preserve">Übertragbarkeit: </w:t>
      </w:r>
      <w:r>
        <w:rPr>
          <w:sz w:val="19"/>
        </w:rPr>
        <w:t>UK-NHS-Kontext, aber identifizierte Systemprobleme in anderen Ländern ähnlich relevant.</w:t>
      </w:r>
    </w:p>
    <w:p>
      <w:r>
        <w:rPr>
          <w:color w:val="5A7D3A"/>
          <w:sz w:val="18"/>
        </w:rPr>
        <w:t>https://pubmed.ncbi.nlm.nih.gov/42598916/</w:t>
      </w:r>
    </w:p>
    <w:p>
      <w:pPr>
        <w:pStyle w:val="Heading2"/>
      </w:pPr>
      <w:r>
        <w:t>Digital Health Literacy bei Nierenerkrankung: Probleme bei der Nutzung digitaler Gesundheitsinformation</w:t>
      </w:r>
    </w:p>
    <w:p>
      <w:r>
        <w:rPr>
          <w:i/>
          <w:color w:val="666666"/>
          <w:sz w:val="18"/>
        </w:rPr>
        <w:t>Totaro M et al.  ·  J Nephrol  ·  10.10.2026  ·  PMID 42583872</w:t>
      </w:r>
    </w:p>
    <w:p>
      <w:r>
        <w:t>Querschnittsstudie mit 323 italienischen Patienten zur digitalen Gesundheitskompetenz (HLS19-DIGI-Tool) bei chronischer Nierenerkrankung.</w:t>
      </w:r>
    </w:p>
    <w:p>
      <w:r>
        <w:rPr>
          <w:b/>
        </w:rPr>
        <w:t xml:space="preserve">Ergebnis: </w:t>
      </w:r>
      <w:r>
        <w:t>"Problematische" Level beim Umgang mit digitalen Gesundheitsinformationen, "ausreichende" Level bei Interaktion mit digitalen Ressourcen gefunden. Älter, geringere Bildung und Arbeitslosigkeit (Rentner) = schlechtere Fähigkeiten; bessere Kompetenz bei höherem Einkommen, digitaler Schulung und regelmäßiger Geräte-Nutzung (1-3 Tage/Woche). Gezielte Interventionen zur Förderung digitaler Health Literacy empfohlen.</w:t>
      </w:r>
    </w:p>
    <w:p>
      <w:r>
        <w:rPr>
          <w:b/>
          <w:sz w:val="19"/>
        </w:rPr>
        <w:t xml:space="preserve">Übertragbarkeit: </w:t>
      </w:r>
      <w:r>
        <w:rPr>
          <w:sz w:val="19"/>
        </w:rPr>
        <w:t>Italienisches Versicherungssystem, aber Ungleichheitsprofile und digitale Barrieren auch auf Deutschland übertragbar.</w:t>
      </w:r>
    </w:p>
    <w:p>
      <w:r>
        <w:rPr>
          <w:color w:val="5A7D3A"/>
          <w:sz w:val="18"/>
        </w:rPr>
        <w:t>https://pubmed.ncbi.nlm.nih.gov/42583872/</w:t>
      </w:r>
    </w:p>
    <w:p>
      <w:pPr>
        <w:pStyle w:val="Heading1"/>
      </w:pPr>
      <w:r>
        <w:t>Aufgenommen am 10.10.2026</w:t>
      </w:r>
    </w:p>
    <w:p>
      <w:pPr>
        <w:pStyle w:val="Heading2"/>
      </w:pPr>
      <w:r>
        <w:t>WeChat-Beiträge zu Brusterkrankungen: Verständlichkeit und Entscheidungsunterstützung mangelhaft</w:t>
      </w:r>
    </w:p>
    <w:p>
      <w:r>
        <w:rPr>
          <w:i/>
          <w:color w:val="666666"/>
          <w:sz w:val="18"/>
        </w:rPr>
        <w:t>Li J et al.  ·  JMIR Med Inform  ·  09.10.2026  ·  PMID 42854188</w:t>
      </w:r>
    </w:p>
    <w:p>
      <w:r>
        <w:t>Chinesische Querschnittsanalyse von 464 Artikeln zu gutartigen Brusterkrankungen auf 158 Krankenhaus-WeChat-Kanälen, bewertet auf Zugänglichkeit (Lesbarkeit, Bilder) und Shared Decision Making-Reife nach validierten Instrumenten (PEMAT-P, DISCERN, QUEST).</w:t>
      </w:r>
    </w:p>
    <w:p>
      <w:r>
        <w:rPr>
          <w:b/>
        </w:rPr>
        <w:t xml:space="preserve">Ergebnis: </w:t>
      </w:r>
      <w:r>
        <w:t>Gute Zugänglichkeit: 72,4% auf Niveau Mittlere Reife geschrieben; aber begrenzte Handlungsfähigkeit (PEMAT-P Actionability-Score 50% ± 23,2%, Mittelwert). Schwache Entscheidungsunterstützung: QUEST-Score 14,9 ± 4,7 von 28; 84,3% der Artikel unterschritten Qualitätsschwelle. Behandlungs-Artikel schnitten schlechter ab als Prävention (p &lt; 0,001); 82% fehlten Angaben zu Behandlungsrisiken und Lebensqualitätseffekten.</w:t>
      </w:r>
    </w:p>
    <w:p>
      <w:r>
        <w:rPr>
          <w:b/>
          <w:sz w:val="19"/>
        </w:rPr>
        <w:t xml:space="preserve">Übertragbarkeit: </w:t>
      </w:r>
      <w:r>
        <w:rPr>
          <w:sz w:val="19"/>
        </w:rPr>
        <w:t>China, andere Plattform und Dokumententyp; Befund zur Qualitätslücke bei Online-Patienteninformation übertragbar.</w:t>
      </w:r>
    </w:p>
    <w:p>
      <w:r>
        <w:rPr>
          <w:color w:val="5A7D3A"/>
          <w:sz w:val="18"/>
        </w:rPr>
        <w:t>https://pubmed.ncbi.nlm.nih.gov/42854188/</w:t>
      </w:r>
    </w:p>
    <w:p>
      <w:pPr>
        <w:pStyle w:val="Heading2"/>
      </w:pPr>
      <w:r>
        <w:t>Patienteneinbeziehung in der Psychose-Behandlung: DIALOG+ strukturiert Gesprächsziele und geteilte Entscheidungen</w:t>
      </w:r>
    </w:p>
    <w:p>
      <w:r>
        <w:rPr>
          <w:i/>
          <w:color w:val="666666"/>
          <w:sz w:val="18"/>
        </w:rPr>
        <w:t>Lundmark M et al.  ·  BMC Psychiatry  ·  17.09.2026  ·  PMID 42850597</w:t>
      </w:r>
    </w:p>
    <w:p>
      <w:r>
        <w:t>Qualitative Studie mit 14 Fachkräften in schwedischen Psychose-Ambulanzen, die Erfahrungen mit DIALOG+ (strukturiertes digitales Werkzeug für Patient*innenbeteiligung) in Fokusgruppen beschrieben.</w:t>
      </w:r>
    </w:p>
    <w:p>
      <w:r>
        <w:rPr>
          <w:b/>
        </w:rPr>
        <w:t xml:space="preserve">Ergebnis: </w:t>
      </w:r>
      <w:r>
        <w:t>DIALOG+ ermöglichte es Patient*innen, ihre Bedürfnisse deutlicher zu äußern und eine aktivere Rolle im Gespräch zu übernehmen. Die strukturierte Methode verteilte Verantwortung für Entscheidungen und Nachbetreuung zwischen Patient*innen und Fachkräften. Herausforderung: Spannung zwischen Patient*innen-geleiteter Agenda und professioneller Verantwortung erfordert Unterstützung der Fachkräfte in neuen Rollen.</w:t>
      </w:r>
    </w:p>
    <w:p>
      <w:r>
        <w:rPr>
          <w:b/>
          <w:sz w:val="19"/>
        </w:rPr>
        <w:t xml:space="preserve">Übertragbarkeit: </w:t>
      </w:r>
      <w:r>
        <w:rPr>
          <w:sz w:val="19"/>
        </w:rPr>
        <w:t>Schweden, Shared Decision Making in Regelversorgung; systemische Übertragbarkeit auf deutsches Gatekeeping-freies Versorgungsmodell begrenzt.</w:t>
      </w:r>
    </w:p>
    <w:p>
      <w:r>
        <w:rPr>
          <w:color w:val="5A7D3A"/>
          <w:sz w:val="18"/>
        </w:rPr>
        <w:t>https://pubmed.ncbi.nlm.nih.gov/42850597/</w:t>
      </w:r>
    </w:p>
    <w:p>
      <w:pPr>
        <w:pStyle w:val="Heading2"/>
      </w:pPr>
      <w:r>
        <w:t>Gesundheitsrahmen in Umweltbotschaften: Was fördert Verhalten, was nur Intention?</w:t>
      </w:r>
    </w:p>
    <w:p>
      <w:r>
        <w:rPr>
          <w:i/>
          <w:color w:val="666666"/>
          <w:sz w:val="18"/>
        </w:rPr>
        <w:t>Chan FHF et al.  ·  Ann Behav Med  ·  07.01.2026  ·  PMID 42847353</w:t>
      </w:r>
    </w:p>
    <w:p>
      <w:r>
        <w:t>Systematische Übersichtsarbeit mit qualitativer Synthesemethode von 46 Studien (54 Substudien) zum Effekt von Gesundheitsframing in Umwelt-Kommunikationsmaßnahmen, überwiegend RCTs in reichen, englischsprachigen Ländern (n &gt; 180.000 Personen).</w:t>
      </w:r>
    </w:p>
    <w:p>
      <w:r>
        <w:rPr>
          <w:b/>
        </w:rPr>
        <w:t xml:space="preserve">Ergebnis: </w:t>
      </w:r>
      <w:r>
        <w:t>Gesundheits-gerahmte Umweltbotschaften werden als verständlich und hilfreich wahrgenommen, insbesondere mit Gewinn-Framing und Präventions-Fokus. Sie erhöhen Bedrohungswahrnehmung, Policy-Unterstützung und gesundheitsschutzende Intentionen wirksam (p &lt; 0,05 in Mehrheit der Studien). Aber: Wirkung auf nachhaltige Verhaltensänderung und Advocacy-Verhalten inkonsistent; Handeln bleibt deutlich hinter Intention zurück.</w:t>
      </w:r>
    </w:p>
    <w:p>
      <w:r>
        <w:rPr>
          <w:b/>
          <w:sz w:val="19"/>
        </w:rPr>
        <w:t xml:space="preserve">Übertragbarkeit: </w:t>
      </w:r>
      <w:r>
        <w:rPr>
          <w:sz w:val="19"/>
        </w:rPr>
        <w:t>Überwiegend anglophone Länder, aber Fragestellung kultur- und systemunabhängig; Befund zur Intentions-Verhaltens-Lücke grundlegend.</w:t>
      </w:r>
    </w:p>
    <w:p>
      <w:r>
        <w:rPr>
          <w:color w:val="5A7D3A"/>
          <w:sz w:val="18"/>
        </w:rPr>
        <w:t>https://pubmed.ncbi.nlm.nih.gov/42847353/</w:t>
      </w:r>
    </w:p>
    <w:p>
      <w:pPr>
        <w:pStyle w:val="Heading2"/>
      </w:pPr>
      <w:r>
        <w:t>Surgical Sidekick: Schulung zur Gesundheitskompetenz bei Kopf-Hals-Krebs verbessert Verständnis und Selbstermächtigung</w:t>
      </w:r>
    </w:p>
    <w:p>
      <w:r>
        <w:rPr>
          <w:i/>
          <w:color w:val="666666"/>
          <w:sz w:val="18"/>
        </w:rPr>
        <w:t>Merkovsky S et al.  ·  Clin J Oncol Nurs  ·  30.09.2026  ·  PMID 42832320</w:t>
      </w:r>
    </w:p>
    <w:p>
      <w:r>
        <w:t>Qualitätsmessungs-Pilot einer Ressource zur Verbesserung von Gesundheitskompetenz und Patient*innen-Ermächtigung bei Kopf-Hals-Krebs-Operation; Pflegekräfte führten das Werkzeug bei Diagnosebestätigung ein (Maßnahme beschrieben, Wirkungsmessung im Abstract nicht vollständig benannt).</w:t>
      </w:r>
    </w:p>
    <w:p>
      <w:r>
        <w:rPr>
          <w:b/>
        </w:rPr>
        <w:t xml:space="preserve">Ergebnis: </w:t>
      </w:r>
      <w:r>
        <w:t>Projekt läuft seit Februar 2025; knapp 100 Drainagen wurden bisher erfolgreich zu Hause entfernt ohne berichtete Komplikationen (kein Vergleich mit Kontrolle, Fallzahl begrenzt). Aussage nur zu Machbarkeit und Sicherheit, nicht zu Gesundheitskompetenz-Effekt oder Verhaltensänderung mess bar benannt.</w:t>
      </w:r>
    </w:p>
    <w:p>
      <w:r>
        <w:rPr>
          <w:b/>
          <w:sz w:val="19"/>
        </w:rPr>
        <w:t xml:space="preserve">Übertragbarkeit: </w:t>
      </w:r>
      <w:r>
        <w:rPr>
          <w:sz w:val="19"/>
        </w:rPr>
        <w:t>USA - einzelnes Krankenhaus; explorativer Bericht ohne robustes Wirkungsdesign, daher limitierte Aussagekraft.</w:t>
      </w:r>
    </w:p>
    <w:p>
      <w:r>
        <w:rPr>
          <w:color w:val="5A7D3A"/>
          <w:sz w:val="18"/>
        </w:rPr>
        <w:t>https://pubmed.ncbi.nlm.nih.gov/42832320/</w:t>
      </w:r>
    </w:p>
    <w:p>
      <w:pPr>
        <w:pStyle w:val="Heading2"/>
      </w:pPr>
      <w:r>
        <w:t>Künstliche Sprachmodelle bei Herpes zoster: Sicherheit und Lesbarkeit für Patient*innen kritisch</w:t>
      </w:r>
    </w:p>
    <w:p>
      <w:r>
        <w:rPr>
          <w:i/>
          <w:color w:val="666666"/>
          <w:sz w:val="18"/>
        </w:rPr>
        <w:t>Liang D et al.  ·  Front Public Health  ·  16.09.2026  ·  PMID 42819370</w:t>
      </w:r>
    </w:p>
    <w:p>
      <w:r>
        <w:t>Standardisierte Bewertung von fünf großen Sprachmodellen (ChatGPT, DeepSeek, Doubao, Gemini, Qwen) zu 46 Fragen über Herpes zoster auf Sicherheit, Genauigkeit, Einfühlsamkeit, Quellenangabe und Lesbarkeit durch drei Dermatologen (Kappa für Sicherheit 0,682).</w:t>
      </w:r>
    </w:p>
    <w:p>
      <w:r>
        <w:rPr>
          <w:b/>
        </w:rPr>
        <w:t xml:space="preserve">Ergebnis: </w:t>
      </w:r>
      <w:r>
        <w:t>Von 230 Antworten: 66 (28,7%) als potenziell unsicher bewertet (kein signifikanter Unterschied zwischen Modellen, Cochran Q p = 0,798). Genauigkeit und Einfühlsamkeit unterschieden sich zwischen Modellen (p &lt; 0,001), Effektgröße aber klein. Alle sechs Lesbarkeitsindizes unterschieden sich (p &lt; 0,001); DeepSeek deutlich leichter lesbar als Gemini. Quellenangabe und Offenlegung durchgängig dünn.</w:t>
      </w:r>
    </w:p>
    <w:p>
      <w:r>
        <w:rPr>
          <w:b/>
          <w:sz w:val="19"/>
        </w:rPr>
        <w:t xml:space="preserve">Übertragbarkeit: </w:t>
      </w:r>
      <w:r>
        <w:rPr>
          <w:sz w:val="19"/>
        </w:rPr>
        <w:t>China - Test mit internationalen Modellen; Sicherheitsbefund zu LLM-Grenzen sprachunabhängig.</w:t>
      </w:r>
    </w:p>
    <w:p>
      <w:r>
        <w:rPr>
          <w:color w:val="5A7D3A"/>
          <w:sz w:val="18"/>
        </w:rPr>
        <w:t>https://pubmed.ncbi.nlm.nih.gov/42819370/</w:t>
      </w:r>
    </w:p>
    <w:p>
      <w:pPr>
        <w:pStyle w:val="Heading2"/>
      </w:pPr>
      <w:r>
        <w:t>Teilhabe im alltäglichen Leben und psychische Genesung: wenig Zusammenhang in FACT-Diensten gefunden</w:t>
      </w:r>
    </w:p>
    <w:p>
      <w:r>
        <w:rPr>
          <w:i/>
          <w:color w:val="666666"/>
          <w:sz w:val="18"/>
        </w:rPr>
        <w:t>Borgh M et al.  ·  Nord J Psychiatry  ·  07.09.2026  ·  PMID 42706860</w:t>
      </w:r>
    </w:p>
    <w:p>
      <w:r>
        <w:t>Beobachtungsstudie mit Sekundärdaten von 83 Personen mit komplexen psychischen Erkrankungen in schwedischen Flexible Assertive Community Treatment-Diensten; Assoziationen zwischen Teilhabe-Domänen (Arbeit, Wohnsituation, Partnerschaft, Freundschaften) und persönlicher Genesung bzw. Lebensqualität nach 12 Monaten mittels multipler linearer Regression geprüft.</w:t>
      </w:r>
    </w:p>
    <w:p>
      <w:r>
        <w:rPr>
          <w:b/>
        </w:rPr>
        <w:t xml:space="preserve">Ergebnis: </w:t>
      </w:r>
      <w:r>
        <w:t>Personen, die allein lebten, zeigten höhere Lebensqualitäts-Scores als die mit Partner oder Familie (signifikant). Keine anderen signifikanten Assoziationen gefunden. Autoren interpretieren: FACT-Modell könnte persönliche Genesung über breites Spektrum von Teilhabe-Unterschieden unterstützen; aber Ergebnis unter methodischen Einschränkungen zu interpretieren (kleine Stichprobe, begrenzte Varianz).</w:t>
      </w:r>
    </w:p>
    <w:p>
      <w:r>
        <w:rPr>
          <w:b/>
          <w:sz w:val="19"/>
        </w:rPr>
        <w:t xml:space="preserve">Übertragbarkeit: </w:t>
      </w:r>
      <w:r>
        <w:rPr>
          <w:sz w:val="19"/>
        </w:rPr>
        <w:t>Schweden, mentale Gesundheit in Gemeindesetting; Übertragbarkeit auf Deutschland begrenzt durch Systemunterschiede.</w:t>
      </w:r>
    </w:p>
    <w:p>
      <w:r>
        <w:rPr>
          <w:color w:val="5A7D3A"/>
          <w:sz w:val="18"/>
        </w:rPr>
        <w:t>https://pubmed.ncbi.nlm.nih.gov/42706860/</w:t>
      </w:r>
    </w:p>
    <w:p>
      <w:pPr>
        <w:pStyle w:val="Heading1"/>
      </w:pPr>
      <w:r>
        <w:t>Aufgenommen am 09.10.2026</w:t>
      </w:r>
    </w:p>
    <w:p>
      <w:pPr>
        <w:pStyle w:val="Heading2"/>
      </w:pPr>
      <w:r>
        <w:t>Verständliche Online-Psychoedukation für ADHS: Reichweite, Nutzung und praktischer Nutzen</w:t>
      </w:r>
    </w:p>
    <w:p>
      <w:r>
        <w:rPr>
          <w:i/>
          <w:color w:val="666666"/>
          <w:sz w:val="18"/>
        </w:rPr>
        <w:t>Lui JHL et al.  ·  Evid Based Pract Child Adolesc Ment Health  ·  02.02.2025  ·  PMID 42847838</w:t>
      </w:r>
    </w:p>
    <w:p>
      <w:r>
        <w:t>Entwicklung und Verbreitung von TOOLS, einer kostenlosen webgestützten Psychoedukation mit 11 animierten Videos zu Organisations- und Verhaltensstrategien für Jugendliche und Erwachsene mit ADHS, verfügbar in Englisch, Mandarin und Spanisch; Analyse von Nutzung und wahrgenommener Wirksamkeit.</w:t>
      </w:r>
    </w:p>
    <w:p>
      <w:r>
        <w:rPr>
          <w:b/>
        </w:rPr>
        <w:t xml:space="preserve">Ergebnis: </w:t>
      </w:r>
      <w:r>
        <w:t>Oktober 2021–Oktober 2022: 19.876 eindeutige Seitenzugriffe, 12.631 Video-Klicks, 7.807 Handout-Klicks. 128 Nutzer (Alter 40 Jahre, 85,9% weiblich) bewerteten Hilfreichtum mit Ø 3,14/4, beabsichtigte Nutzung 3,13/4, tatsächliche Nutzung nach 1 Monat 2,53/4. Positive Rückmeldungen: Verständlichkeit, Informativität, Praxisnähe, visuell ansprechend.</w:t>
      </w:r>
    </w:p>
    <w:p>
      <w:r>
        <w:rPr>
          <w:b/>
          <w:sz w:val="19"/>
        </w:rPr>
        <w:t xml:space="preserve">Übertragbarkeit: </w:t>
      </w:r>
      <w:r>
        <w:rPr>
          <w:sz w:val="19"/>
        </w:rPr>
        <w:t>Nordamerika, aber sprachunabhängig; zeigt Machbarkeit verständlicher digitaler Psychoedukation; Lesbarkeit und Engagement sind übertragbar.</w:t>
      </w:r>
    </w:p>
    <w:p>
      <w:r>
        <w:rPr>
          <w:color w:val="5A7D3A"/>
          <w:sz w:val="18"/>
        </w:rPr>
        <w:t>https://pubmed.ncbi.nlm.nih.gov/42847838/</w:t>
      </w:r>
    </w:p>
    <w:p>
      <w:pPr>
        <w:pStyle w:val="Heading2"/>
      </w:pPr>
      <w:r>
        <w:t>Health Literacy bestimmt Wirkung von Restaurant-Nährwertkennzeichnung</w:t>
      </w:r>
    </w:p>
    <w:p>
      <w:r>
        <w:rPr>
          <w:i/>
          <w:color w:val="666666"/>
          <w:sz w:val="18"/>
        </w:rPr>
        <w:t>Yu YS et al.  ·  Ann Behav Med  ·  07.01.2026  ·  PMID 42847396</w:t>
      </w:r>
    </w:p>
    <w:p>
      <w:r>
        <w:t>Online-Randomisierte Studie mit 2829 US-amerikanischen Erwachsenen, die ein von 8 Fast-Food-Menüs wählten (Variation: Kalorien-Labels ja/nein, Natrium-Stoplicht-Symbole, Werbeaussagen); Effekt auf bestellte Kalorien und Natrium nach Health Literacy untersucht.</w:t>
      </w:r>
    </w:p>
    <w:p>
      <w:r>
        <w:rPr>
          <w:b/>
        </w:rPr>
        <w:t xml:space="preserve">Ergebnis: </w:t>
      </w:r>
      <w:r>
        <w:t>Nur Teilnehmer mit moderater Health Literacy zeigten signifikante Unterschiede: 90–135 kcal weniger und 123–154 mg Natrium weniger beim Einsatz von Labels (nominal p&lt;0,05). Bei niedriger oder hoher Literacy keine signifikanten Unterschiede. Menu Labeling wirkt nicht gleichmäßig; Effektivität hängt von Fähigkeit zur Informationsinterpretation ab.</w:t>
      </w:r>
    </w:p>
    <w:p>
      <w:r>
        <w:rPr>
          <w:b/>
          <w:sz w:val="19"/>
        </w:rPr>
        <w:t xml:space="preserve">Übertragbarkeit: </w:t>
      </w:r>
      <w:r>
        <w:rPr>
          <w:sz w:val="19"/>
        </w:rPr>
        <w:t>USA, aber Befund zur Ungleichheit ist sprachunabhängig; intuitivere Labels könnten Gerechtigkeit und Effektivität von Ernährungspolitik verbessern.</w:t>
      </w:r>
    </w:p>
    <w:p>
      <w:r>
        <w:rPr>
          <w:color w:val="5A7D3A"/>
          <w:sz w:val="18"/>
        </w:rPr>
        <w:t>https://pubmed.ncbi.nlm.nih.gov/42847396/</w:t>
      </w:r>
    </w:p>
    <w:p>
      <w:pPr>
        <w:pStyle w:val="Heading2"/>
      </w:pPr>
      <w:r>
        <w:t>Strukturierte Psychoedukation verbessert Empowerment bei schweren psychischen Erkrankungen</w:t>
      </w:r>
    </w:p>
    <w:p>
      <w:r>
        <w:rPr>
          <w:i/>
          <w:color w:val="666666"/>
          <w:sz w:val="18"/>
        </w:rPr>
        <w:t>Veltro F et al.  ·  Riv Psichiatr  ·  Sept. 2026  ·  PMID 42847035</w:t>
      </w:r>
    </w:p>
    <w:p>
      <w:r>
        <w:t>Randomisierte Studie an 60 Patienten mit schweren psychischen Erkrankungen (davon 59 ausgewertet), die eine strukturierte Psychoeducational Intervention (FM&amp;R-GR) erhielten, versus Kontrollgruppe mit weniger strukturiertem Manual über 12 Monate.</w:t>
      </w:r>
    </w:p>
    <w:p>
      <w:r>
        <w:rPr>
          <w:b/>
        </w:rPr>
        <w:t xml:space="preserve">Ergebnis: </w:t>
      </w:r>
      <w:r>
        <w:t>Empowerment (NEL-Score), Distress und psychosoziale Funktionsfähigkeit (PSPS) zeigten statistisch signifikante Verbesserungen (p&lt;0,001 bzw. p&lt;0,05). In der Interventionsgruppe 56,3% (27/48), in der Kontrollgruppe 43,75% (21/48) schlossen ab. Strukturierte Psychoedukation wirkt messbar auf primäre Zielgrößen.</w:t>
      </w:r>
    </w:p>
    <w:p>
      <w:r>
        <w:rPr>
          <w:b/>
          <w:sz w:val="19"/>
        </w:rPr>
        <w:t xml:space="preserve">Übertragbarkeit: </w:t>
      </w:r>
      <w:r>
        <w:rPr>
          <w:sz w:val="19"/>
        </w:rPr>
        <w:t>Italien, vergleichbares EU-Gesundheitssystem; Übertragbarkeit auf spezialisierte psychosoziale Versorgung in Deutschland gegeben.</w:t>
      </w:r>
    </w:p>
    <w:p>
      <w:r>
        <w:rPr>
          <w:color w:val="5A7D3A"/>
          <w:sz w:val="18"/>
        </w:rPr>
        <w:t>https://pubmed.ncbi.nlm.nih.gov/42847035/</w:t>
      </w:r>
    </w:p>
    <w:p>
      <w:pPr>
        <w:pStyle w:val="Heading2"/>
      </w:pPr>
      <w:r>
        <w:t>Medikamentenkompetenz bei älteren Patienten mit Herzkrankheit und Diabetes</w:t>
      </w:r>
    </w:p>
    <w:p>
      <w:r>
        <w:rPr>
          <w:i/>
          <w:color w:val="666666"/>
          <w:sz w:val="18"/>
        </w:rPr>
        <w:t>Pan X et al.  ·  Front Public Health  ·  23.09.2026  ·  PMID 42846411</w:t>
      </w:r>
    </w:p>
    <w:p>
      <w:r>
        <w:t>Querschnittstudie an 254 hospitalisierten Patienten mittleren Alters und älter mit koexistierender koronarer Herzkrankheit und Typ-2-Diabetes in einer Klinik in Chongqing, China; Messung von Medikamentenkompetenz und assoziierten Faktoren.</w:t>
      </w:r>
    </w:p>
    <w:p>
      <w:r>
        <w:rPr>
          <w:b/>
        </w:rPr>
        <w:t xml:space="preserve">Ergebnis: </w:t>
      </w:r>
      <w:r>
        <w:t>Mittlerer Medikamentenkompetenz-Score 74,05±12,23. Hierarchische Regression zeigte signifikante Assoziationen mit: Beteiligung an Medikationsentscheidungen, soziale Unterstützung, Bildungsniveau, Selbstwirksamkeit, Wohnort und Fähigkeit, Beipackzettel zu verstehen (alle p&lt;0,05). Medikamentenkompetenz hat Verbesserungspotential und hängt von individuellen, sozialen und Versorgungsfaktoren ab.</w:t>
      </w:r>
    </w:p>
    <w:p>
      <w:r>
        <w:rPr>
          <w:b/>
          <w:sz w:val="19"/>
        </w:rPr>
        <w:t xml:space="preserve">Übertragbarkeit: </w:t>
      </w:r>
      <w:r>
        <w:rPr>
          <w:sz w:val="19"/>
        </w:rPr>
        <w:t>China, ähnliche chronische Krankheitslast; Befund zur Bedeutung von Shared Decision Making und Sozialunterstützung generalisierbar.</w:t>
      </w:r>
    </w:p>
    <w:p>
      <w:r>
        <w:rPr>
          <w:color w:val="5A7D3A"/>
          <w:sz w:val="18"/>
        </w:rPr>
        <w:t>https://pubmed.ncbi.nlm.nih.gov/42846411/</w:t>
      </w:r>
    </w:p>
    <w:p>
      <w:pPr>
        <w:pStyle w:val="Heading2"/>
      </w:pPr>
      <w:r>
        <w:t>Patientenbeteiligung in der Intensivmedizin: Wie sinnvoll ist die Mitwirkung wirklich?</w:t>
      </w:r>
    </w:p>
    <w:p>
      <w:r>
        <w:rPr>
          <w:i/>
          <w:color w:val="666666"/>
          <w:sz w:val="18"/>
        </w:rPr>
        <w:t>Collet MO et al.  ·  Nurs Crit Care  ·  Nov. 2026  ·  PMID 42844890</w:t>
      </w:r>
    </w:p>
    <w:p>
      <w:r>
        <w:t>Befragung von 37 Teilnehmern (80,4% Rücklauf) an dänischen Forschungsgremien zur Entwicklung von Kernergebnisindikatoren für Intensivpatienten, um Qualität der Patientenbeteiligung (PEIRS-22-Skala) zu messen.</w:t>
      </w:r>
    </w:p>
    <w:p>
      <w:r>
        <w:rPr>
          <w:b/>
        </w:rPr>
        <w:t xml:space="preserve">Ergebnis: </w:t>
      </w:r>
      <w:r>
        <w:t>Median-Score 78 (Spanne 68–93), 72% erreichten Wert ≥70,1 für sinnvolle Beteiligung. Unterschiede nach Rolle signifikant (p=0,004): Forscher 97, Patienten/Angehörige 89, klinisches Personal 74. Beteiligung insgesamt sinnvoll, aber Unterschiede zwischen Stakeholdern und Defizite in Entscheidungsmitsprache.</w:t>
      </w:r>
    </w:p>
    <w:p>
      <w:r>
        <w:rPr>
          <w:b/>
          <w:sz w:val="19"/>
        </w:rPr>
        <w:t xml:space="preserve">Übertragbarkeit: </w:t>
      </w:r>
      <w:r>
        <w:rPr>
          <w:sz w:val="19"/>
        </w:rPr>
        <w:t>Dänemark, nordisches Versicherungssystem; zeigt Messbares für Verbesserung von Shared Decision Making in der Intensivforschung.</w:t>
      </w:r>
    </w:p>
    <w:p>
      <w:r>
        <w:rPr>
          <w:color w:val="5A7D3A"/>
          <w:sz w:val="18"/>
        </w:rPr>
        <w:t>https://pubmed.ncbi.nlm.nih.gov/42844890/</w:t>
      </w:r>
    </w:p>
    <w:p>
      <w:pPr>
        <w:pStyle w:val="Heading2"/>
      </w:pPr>
      <w:r>
        <w:t>Patientenbeteiligung in klinischen Audits: ein pragmatisches Organisationsmodell</w:t>
      </w:r>
    </w:p>
    <w:p>
      <w:r>
        <w:rPr>
          <w:i/>
          <w:color w:val="666666"/>
          <w:sz w:val="18"/>
        </w:rPr>
        <w:t>El Hadidi S et al.  ·  Health Policy  ·  23.09.2026  ·  PMID 42810162</w:t>
      </w:r>
    </w:p>
    <w:p>
      <w:r>
        <w:t>Dokumentenanalyse von 23 öffentlichen Dokumenten der irischen National Office of Clinical Audit (NOCA, 2012–2025) zu Struktur und Operationalisierung von Patientenbeteiligung in nationalen Audits.</w:t>
      </w:r>
    </w:p>
    <w:p>
      <w:r>
        <w:rPr>
          <w:b/>
        </w:rPr>
        <w:t xml:space="preserve">Ergebnis: </w:t>
      </w:r>
      <w:r>
        <w:t>Vier Implementierungsmechanismen identifiziert: Governance-Integration, Portfolio-Koordination, Co-Produktion von Öffentlichkeitsmaterialien und institutionelle Unterstützungsstrukturen. NOCA zeigt, wie Patientenbeteiligung in nationale Audit-Infrastruktur als dauerhafte Governance- und Rechenschaftsfunktion eingebaut werden kann.</w:t>
      </w:r>
    </w:p>
    <w:p>
      <w:r>
        <w:rPr>
          <w:b/>
          <w:sz w:val="19"/>
        </w:rPr>
        <w:t xml:space="preserve">Übertragbarkeit: </w:t>
      </w:r>
      <w:r>
        <w:rPr>
          <w:sz w:val="19"/>
        </w:rPr>
        <w:t>Irland, vergleichbare europäische Audit-Struktur; übertragbares Modell für dezentrale deutsche Qualitätssicherungssysteme.</w:t>
      </w:r>
    </w:p>
    <w:p>
      <w:r>
        <w:rPr>
          <w:color w:val="5A7D3A"/>
          <w:sz w:val="18"/>
        </w:rPr>
        <w:t>https://pubmed.ncbi.nlm.nih.gov/42810162/</w:t>
      </w:r>
    </w:p>
    <w:p>
      <w:pPr>
        <w:pStyle w:val="Heading1"/>
      </w:pPr>
      <w:r>
        <w:t>Aufgenommen am 08.10.2026</w:t>
      </w:r>
    </w:p>
    <w:p>
      <w:pPr>
        <w:pStyle w:val="Heading2"/>
      </w:pPr>
      <w:r>
        <w:t>Chatbot verbessert Krebsrisiko-Verständnis bei jungen Patienten mit genetischer Disposition</w:t>
      </w:r>
    </w:p>
    <w:p>
      <w:r>
        <w:rPr>
          <w:i/>
          <w:color w:val="666666"/>
          <w:sz w:val="18"/>
        </w:rPr>
        <w:t>Kamihara J et al.  ·  JAMA Netw Open  ·  01.10.2026  ·  PMID 42842248</w:t>
      </w:r>
    </w:p>
    <w:p>
      <w:r>
        <w:t>Randomisierte Studie mit 106 Jugendlichen und jungen Erwachsenen (12-24 Jahre) mit hereditären Krebssyndromen, die entweder eine Klinikberatung allein oder mit zusätzlicher chatbot-gestützter Risikokommunikation erhielten.</w:t>
      </w:r>
    </w:p>
    <w:p>
      <w:r>
        <w:rPr>
          <w:b/>
        </w:rPr>
        <w:t xml:space="preserve">Ergebnis: </w:t>
      </w:r>
      <w:r>
        <w:t>Nach der Intervention hatten 78% (42/54) der Chatbot-Gruppe gegenüber 37% (19/52) der Kontrollgruppe genaue Kenntnisse über Krebsrisiko bis Alter 30 (OR 3,50, p=0,005). Verbessertes Verständnis ohne Anstieg psychischer Belastung.</w:t>
      </w:r>
    </w:p>
    <w:p>
      <w:r>
        <w:rPr>
          <w:b/>
          <w:sz w:val="19"/>
        </w:rPr>
        <w:t xml:space="preserve">Übertragbarkeit: </w:t>
      </w:r>
      <w:r>
        <w:rPr>
          <w:sz w:val="19"/>
        </w:rPr>
        <w:t>USA-Studie, aber Befund zur verständlichkeitssteigernden Wirkung personalisierter digitaler Information ist systemunabhängig.</w:t>
      </w:r>
    </w:p>
    <w:p>
      <w:r>
        <w:rPr>
          <w:color w:val="5A7D3A"/>
          <w:sz w:val="18"/>
        </w:rPr>
        <w:t>https://pubmed.ncbi.nlm.nih.gov/42842248/</w:t>
      </w:r>
    </w:p>
    <w:p>
      <w:pPr>
        <w:pStyle w:val="Heading2"/>
      </w:pPr>
      <w:r>
        <w:t>Teach-Back-Methode als Basis für sichere und gleichberechtigte Patientenkommunikation</w:t>
      </w:r>
    </w:p>
    <w:p>
      <w:r>
        <w:rPr>
          <w:i/>
          <w:color w:val="666666"/>
          <w:sz w:val="18"/>
        </w:rPr>
        <w:t>Sisodia A  ·  Am J Manag Care  ·  01.09.2026  ·  PMID 42842209</w:t>
      </w:r>
    </w:p>
    <w:p>
      <w:r>
        <w:t>Policy-Kommentar, der Teach-Back als Equity-Infrastruktur zur Verifikation von Patientenverständnis begründet und für dessen systematische Implementierung plädiert.</w:t>
      </w:r>
    </w:p>
    <w:p>
      <w:r>
        <w:rPr>
          <w:b/>
        </w:rPr>
        <w:t xml:space="preserve">Ergebnis: </w:t>
      </w:r>
      <w:r>
        <w:t>Teach-Back wird als praktisches Verfahren zur Fehlervermeidung bei Discharge, Medikamentenwechsel und Einwilligung vorgestellt. Begriffsrahmen der "last-mile equity gap" zwischen abgeschlossener Konsultation und tatsächlichem Patientenverständnis.</w:t>
      </w:r>
    </w:p>
    <w:p>
      <w:r>
        <w:rPr>
          <w:b/>
          <w:sz w:val="19"/>
        </w:rPr>
        <w:t xml:space="preserve">Übertragbarkeit: </w:t>
      </w:r>
      <w:r>
        <w:rPr>
          <w:sz w:val="19"/>
        </w:rPr>
        <w:t>Konzeptionelle Arbeit, sprachenunabhängig und auf alle Versorgungssysteme übertragbar.</w:t>
      </w:r>
    </w:p>
    <w:p>
      <w:r>
        <w:rPr>
          <w:color w:val="5A7D3A"/>
          <w:sz w:val="18"/>
        </w:rPr>
        <w:t>https://pubmed.ncbi.nlm.nih.gov/42842209/</w:t>
      </w:r>
    </w:p>
    <w:p>
      <w:pPr>
        <w:pStyle w:val="Heading2"/>
      </w:pPr>
      <w:r>
        <w:t>Strukturelle und kulturelle Hürden für Patientenbeteiligung in Seltene-Erkrankungen-Forschung</w:t>
      </w:r>
    </w:p>
    <w:p>
      <w:r>
        <w:rPr>
          <w:i/>
          <w:color w:val="666666"/>
          <w:sz w:val="18"/>
        </w:rPr>
        <w:t>Bancroft D et al.  ·  Mol Genet Genomic Med  ·  Okt. 2026  ·  PMID 42834739</w:t>
      </w:r>
    </w:p>
    <w:p>
      <w:r>
        <w:t>Narrative Übersicht mit Reflexionen aus Patienten-, Forscher- und Funder-Perspektive zu Barrieren für Patient- und Public-Involvement-and-Engagement (PPIE) in akademischer Forschung, besonders in Seltene-Erkrankungen-Kontexten.</w:t>
      </w:r>
    </w:p>
    <w:p>
      <w:r>
        <w:rPr>
          <w:b/>
        </w:rPr>
        <w:t xml:space="preserve">Ergebnis: </w:t>
      </w:r>
      <w:r>
        <w:t>Identifizierte strukturelle Barrieren: unzureichende Ressourcenausstattung, begrenzte Zeitrahmen, mangelnde Schulung, kulturelle Widerstände gegen Patientenbeteiligung. Empfehlungen: institutionelle Verankerung von PPIE, kontinuierliche Finanzierung, klare Rollen und Verantwortlichkeiten, Schulung aller Beteiligten, regelmäßige Evaluation.</w:t>
      </w:r>
    </w:p>
    <w:p>
      <w:r>
        <w:rPr>
          <w:b/>
          <w:sz w:val="19"/>
        </w:rPr>
        <w:t xml:space="preserve">Übertragbarkeit: </w:t>
      </w:r>
      <w:r>
        <w:rPr>
          <w:sz w:val="19"/>
        </w:rPr>
        <w:t>UK-Perspektive, aber PPIE-Strukturfragen und Empfehlungen sind auf deutsches akademisches System übertragbar.</w:t>
      </w:r>
    </w:p>
    <w:p>
      <w:r>
        <w:rPr>
          <w:color w:val="5A7D3A"/>
          <w:sz w:val="18"/>
        </w:rPr>
        <w:t>https://pubmed.ncbi.nlm.nih.gov/42834739/</w:t>
      </w:r>
    </w:p>
    <w:p>
      <w:pPr>
        <w:pStyle w:val="Heading2"/>
      </w:pPr>
      <w:r>
        <w:t>ChatGPT liefert verlässliche Patienteninformation zu Hüft- und Knieendoprothetik</w:t>
      </w:r>
    </w:p>
    <w:p>
      <w:r>
        <w:rPr>
          <w:i/>
          <w:color w:val="666666"/>
          <w:sz w:val="18"/>
        </w:rPr>
        <w:t>Deschênes-Bilodeau J et al.  ·  Can J Surg  ·  29.09.2026  ·  PMID 42810739</w:t>
      </w:r>
    </w:p>
    <w:p>
      <w:r>
        <w:t>Vergleichende Studie mit fünf häufig gegoogelten Fragen zu Gelenkersatz, beantwortet durch ChatGPT 4.0 und orthopädische Fachpersonen (Chirurgen, Fellows, Assistenzärzte), anonym durch einen unabhängigen Chirurgen bewertet.</w:t>
      </w:r>
    </w:p>
    <w:p>
      <w:r>
        <w:rPr>
          <w:b/>
        </w:rPr>
        <w:t xml:space="preserve">Ergebnis: </w:t>
      </w:r>
      <w:r>
        <w:t>Menschliche Antworten: Genauigkeit im Mittel 75% (SD 17%), Vollständigkeit 69% (SD 22%). ChatGPT: Genauigkeit 93% (SD 12%), Vollständigkeit 93% (SD 14%). Fellowship-Träger waren beste Fachgruppe mit 75% Antworten ≥5/6 für Genauigkeit (Mittel 82%, SD 16%).</w:t>
      </w:r>
    </w:p>
    <w:p>
      <w:r>
        <w:rPr>
          <w:b/>
          <w:sz w:val="19"/>
        </w:rPr>
        <w:t xml:space="preserve">Übertragbarkeit: </w:t>
      </w:r>
      <w:r>
        <w:rPr>
          <w:sz w:val="19"/>
        </w:rPr>
        <w:t>Kanada, vergleichbares Versicherungssystem; Befund zur Informationsqualität digitaler Tools ist übertragbar.</w:t>
      </w:r>
    </w:p>
    <w:p>
      <w:r>
        <w:rPr>
          <w:color w:val="5A7D3A"/>
          <w:sz w:val="18"/>
        </w:rPr>
        <w:t>https://pubmed.ncbi.nlm.nih.gov/42810739/</w:t>
      </w:r>
    </w:p>
    <w:p>
      <w:pPr>
        <w:pStyle w:val="Heading2"/>
      </w:pPr>
      <w:r>
        <w:t>Erkennung der Herzinsuffizienz-Diagnose bei älteren Patienten: Einfluss auf Versorgungsergebnisse</w:t>
      </w:r>
    </w:p>
    <w:p>
      <w:r>
        <w:rPr>
          <w:i/>
          <w:color w:val="666666"/>
          <w:sz w:val="18"/>
        </w:rPr>
        <w:t>Tasaka T et al.  ·  Geriatr Gerontol Int  ·  Okt. 2026  ·  PMID 42802039</w:t>
      </w:r>
    </w:p>
    <w:p>
      <w:r>
        <w:t>Kohortenstudie mit 188 hospitalisierten Herzinsuffizienz-Patienten (Median 81 Jahre) aus Japan, die Diagnose-Erkennung vor Entlassung abfragten und Assoziationen mit Mortalität und Rehospitalisierungen prüften.</w:t>
      </w:r>
    </w:p>
    <w:p>
      <w:r>
        <w:rPr>
          <w:b/>
        </w:rPr>
        <w:t xml:space="preserve">Ergebnis: </w:t>
      </w:r>
      <w:r>
        <w:t>38% (72/188) erkannten ihre Primärdiagnose nicht; diese Gruppe hatte signifikant niedrigere kommunikative und kritische Health-Literacy-Scores (p&lt;0,01). Nach Adjustment für Alter, kognitive Funktion und HI-Schweregrad war fehlende Diagnose-Erkennung kein unabhängiger Prognosefaktor (Median Follow-up 280 Tage, 40% Ereignisse).</w:t>
      </w:r>
    </w:p>
    <w:p>
      <w:r>
        <w:rPr>
          <w:b/>
          <w:sz w:val="19"/>
        </w:rPr>
        <w:t xml:space="preserve">Übertragbarkeit: </w:t>
      </w:r>
      <w:r>
        <w:rPr>
          <w:sz w:val="19"/>
        </w:rPr>
        <w:t>Japan, aber Messprinzip und Patientenalter übertragbar auf deutsches Versorgungssetting.</w:t>
      </w:r>
    </w:p>
    <w:p>
      <w:r>
        <w:rPr>
          <w:color w:val="5A7D3A"/>
          <w:sz w:val="18"/>
        </w:rPr>
        <w:t>https://pubmed.ncbi.nlm.nih.gov/42802039/</w:t>
      </w:r>
    </w:p>
    <w:p>
      <w:pPr>
        <w:pStyle w:val="Heading2"/>
      </w:pPr>
      <w:r>
        <w:t>Unterschiedliche Qualität von Patienteninformation zu Spinalkanalstenose auf YouTube, TikTok und Bilibili</w:t>
      </w:r>
    </w:p>
    <w:p>
      <w:r>
        <w:rPr>
          <w:i/>
          <w:color w:val="666666"/>
          <w:sz w:val="18"/>
        </w:rPr>
        <w:t>Guo R et al.  ·  Medicine (Baltimore)  ·  25.09.2026  ·  PMID 42798124</w:t>
      </w:r>
    </w:p>
    <w:p>
      <w:r>
        <w:t>Querschnittsanalyse von 253 Videos (89 YouTube, 80 Bilibili, 84 TikTok) zu Lumbalstenose vom 1.2.2026, bewertet nach Zuverlässigkeit, Gesamtqualität, Verständlichkeit, Handlungsfähigkeit und audiovisueller Qualität.</w:t>
      </w:r>
    </w:p>
    <w:p>
      <w:r>
        <w:rPr>
          <w:b/>
        </w:rPr>
        <w:t xml:space="preserve">Ergebnis: </w:t>
      </w:r>
      <w:r>
        <w:t>YouTube-Videos: höhere modifizierte DISCERN- und Global-Quality-Scores, mehr Abdeckung von Ätiologie und Prävention, überwiegend von Kliniken/verifizierten Ärzten. TikTok: kürzeste Videos (103 Sek Median), höchste Physician-Verifikation, beste Audience-Engagement. Bilibili: keine klaren Vorteile. Hohe Engagement korrelierte nicht mit medizinischer Zuverlässigkeit.</w:t>
      </w:r>
    </w:p>
    <w:p>
      <w:r>
        <w:rPr>
          <w:b/>
          <w:sz w:val="19"/>
        </w:rPr>
        <w:t xml:space="preserve">Übertragbarkeit: </w:t>
      </w:r>
      <w:r>
        <w:rPr>
          <w:sz w:val="19"/>
        </w:rPr>
        <w:t>China/Asien, aber Befund zu Plattform-Qualitätsunterschieden und Engagement-Paradox relevant für deutsches Patientenverhalten.</w:t>
      </w:r>
    </w:p>
    <w:p>
      <w:r>
        <w:rPr>
          <w:color w:val="5A7D3A"/>
          <w:sz w:val="18"/>
        </w:rPr>
        <w:t>https://pubmed.ncbi.nlm.nih.gov/42798124/</w:t>
      </w:r>
    </w:p>
    <w:p>
      <w:pPr>
        <w:pStyle w:val="Heading1"/>
      </w:pPr>
      <w:r>
        <w:t>Aufgenommen am 07.10.2026</w:t>
      </w:r>
    </w:p>
    <w:p>
      <w:pPr>
        <w:pStyle w:val="Heading2"/>
      </w:pPr>
      <w:r>
        <w:t>Digitale Gesundheitskompetenz und proaktives Verhalten bei Diabetes: Indirekte Wirkung durch Selbstmanagement</w:t>
      </w:r>
    </w:p>
    <w:p>
      <w:r>
        <w:rPr>
          <w:i/>
          <w:color w:val="666666"/>
          <w:sz w:val="18"/>
        </w:rPr>
        <w:t>Chen C et al.  ·  BMJ Open  ·  06.10.2026  ·  PMID 42838584</w:t>
      </w:r>
    </w:p>
    <w:p>
      <w:r>
        <w:t>Eine chinesische Querschnittsstudie von 1053 älteren Diabetikern prüfte die Assoziation zwischen digitaler Health Literacy und gesundheitsbezogener Lebensqualität, vermittelt durch proaktive Gesundheitsverhalten.</w:t>
      </w:r>
    </w:p>
    <w:p>
      <w:r>
        <w:rPr>
          <w:b/>
        </w:rPr>
        <w:t xml:space="preserve">Ergebnis: </w:t>
      </w:r>
      <w:r>
        <w:t>Mittlere digitale Health-Literacy: 21,24±10,43; proaktives Verhalten: 76,75±9,88; EQ-5D-3L-Nutzen: 0,968±0,069. Die adjustierte Gesamtassoziation zwischen digitaler Health Literacy und Lebensqualität war signifikant (B=0,000569, 95%-KI 0,000228–0,000910), die direkte Assoziation hingegen nicht (B=0,000152, p=0,338). Die indirekte Assoziation durch proaktive Verhalten war signifikant (B=0,000418, 95%-KI 0,000260–0,000619) und erklärte 73,5 % der Gesamtassoziation.</w:t>
      </w:r>
    </w:p>
    <w:p>
      <w:r>
        <w:rPr>
          <w:b/>
          <w:sz w:val="19"/>
        </w:rPr>
        <w:t xml:space="preserve">Übertragbarkeit: </w:t>
      </w:r>
      <w:r>
        <w:rPr>
          <w:sz w:val="19"/>
        </w:rPr>
        <w:t>China, Vergleichbarkeit begrenzt auf digitale Kompetenzeffekte, weniger auf Organisationsstrukturen</w:t>
      </w:r>
    </w:p>
    <w:p>
      <w:r>
        <w:rPr>
          <w:color w:val="5A7D3A"/>
          <w:sz w:val="18"/>
        </w:rPr>
        <w:t>https://pubmed.ncbi.nlm.nih.gov/42838584/</w:t>
      </w:r>
    </w:p>
    <w:p>
      <w:pPr>
        <w:pStyle w:val="Heading2"/>
      </w:pPr>
      <w:r>
        <w:t>Shared Decision-Making für Hüftfraktur-Behandlung: Zufriedenheit und Informationsbedarf</w:t>
      </w:r>
    </w:p>
    <w:p>
      <w:r>
        <w:rPr>
          <w:i/>
          <w:color w:val="666666"/>
          <w:sz w:val="18"/>
        </w:rPr>
        <w:t>Oosterwijk PC et al.  ·  BMJ Open  ·  06.10.2026  ·  PMID 42838576</w:t>
      </w:r>
    </w:p>
    <w:p>
      <w:r>
        <w:t>Eine niederländische Mixed-Methods-Studie untersuchte die Zufriedenheit von Patienten und Angehörigen mit der gemeinsamen Entscheidungsfindung (SDM) bei älteren, gebrechlichen Patienten mit Hüftfraktur und identifizierte Verbesserungsmöglichkeiten für den SDM-Prozess.</w:t>
      </w:r>
    </w:p>
    <w:p>
      <w:r>
        <w:rPr>
          <w:b/>
        </w:rPr>
        <w:t xml:space="preserve">Ergebnis: </w:t>
      </w:r>
      <w:r>
        <w:t>Von 79 befragten Stellvertretern betrug die mediane Zufriedenheit mit der getroffenen Behandlungsentscheidung 8 von 10 Punkten (P25-P75 7–9). Bei 30 % der Teilnehmer fehlten Informationen zu technischen Details und Nachsorge. Schlüsselfaktoren für Zufriedenheit waren die Anerkennung der Gebrechlichkeit, konsistente Behandlung, verständliche Informationen und ausreichend Zeit.</w:t>
      </w:r>
    </w:p>
    <w:p>
      <w:r>
        <w:rPr>
          <w:b/>
          <w:sz w:val="19"/>
        </w:rPr>
        <w:t xml:space="preserve">Übertragbarkeit: </w:t>
      </w:r>
      <w:r>
        <w:rPr>
          <w:sz w:val="19"/>
        </w:rPr>
        <w:t>Niederlande, vergleichbares Versicherungssystem und Klinikstrukturen</w:t>
      </w:r>
    </w:p>
    <w:p>
      <w:r>
        <w:rPr>
          <w:color w:val="5A7D3A"/>
          <w:sz w:val="18"/>
        </w:rPr>
        <w:t>https://pubmed.ncbi.nlm.nih.gov/42838576/</w:t>
      </w:r>
    </w:p>
    <w:p>
      <w:pPr>
        <w:pStyle w:val="Heading2"/>
      </w:pPr>
      <w:r>
        <w:t>Shared-Decision-Making-Training für Ärzte: Umsetzungsbarrieren in der Routineversorgung</w:t>
      </w:r>
    </w:p>
    <w:p>
      <w:r>
        <w:rPr>
          <w:i/>
          <w:color w:val="666666"/>
          <w:sz w:val="18"/>
        </w:rPr>
        <w:t>Kraun L et al.  ·  Fam Pract  ·  06.10.2026  ·  PMID 42837109</w:t>
      </w:r>
    </w:p>
    <w:p>
      <w:r>
        <w:t>Eine qualitative US-Studie analysierte die Erfahrungen von 43 Hausärzten mit einem SDM-Training und klinischen Erinnerungen aus einer randomisierten Studie zur Darmkrebs-Screening-Entscheidung bei älteren Patienten und identifizierte Implementierungshindernisse und Systemvoraussetzungen.</w:t>
      </w:r>
    </w:p>
    <w:p>
      <w:r>
        <w:rPr>
          <w:b/>
        </w:rPr>
        <w:t xml:space="preserve">Ergebnis: </w:t>
      </w:r>
      <w:r>
        <w:t>Ärzte bewerteten Training und Erinnerungen als unterstützend für nuanciertere Entscheidungsgespräche. Zentrale Barrieren waren Zeitmangel, konkurrierendes Fallaufkommen, Workflow-Integration und COVID-19-Unterbrechungen. Empfehlungen der Ärzte: automatisierte Erinnerungen, Patient Decision Aids, kürzeres Training, interprofessionelle Zusammenarbeit und minimale Zusatzbelastung.</w:t>
      </w:r>
    </w:p>
    <w:p>
      <w:r>
        <w:rPr>
          <w:b/>
          <w:sz w:val="19"/>
        </w:rPr>
        <w:t xml:space="preserve">Übertragbarkeit: </w:t>
      </w:r>
      <w:r>
        <w:rPr>
          <w:sz w:val="19"/>
        </w:rPr>
        <w:t>USA, Gatekeeping-System nur teilweise auf deutsche freie Arztwahl übertragbar</w:t>
      </w:r>
    </w:p>
    <w:p>
      <w:r>
        <w:rPr>
          <w:color w:val="5A7D3A"/>
          <w:sz w:val="18"/>
        </w:rPr>
        <w:t>https://pubmed.ncbi.nlm.nih.gov/42837109/</w:t>
      </w:r>
    </w:p>
    <w:p>
      <w:pPr>
        <w:pStyle w:val="Heading2"/>
      </w:pPr>
      <w:r>
        <w:t>Multidisziplinäre Schmerzbehandlung verbessert Gesundheitskompetenz messbar</w:t>
      </w:r>
    </w:p>
    <w:p>
      <w:r>
        <w:rPr>
          <w:i/>
          <w:color w:val="666666"/>
          <w:sz w:val="18"/>
        </w:rPr>
        <w:t>Gjesdal K et al.  ·  Scand J Pain  ·  01.01.2026  ·  PMID 42836695</w:t>
      </w:r>
    </w:p>
    <w:p>
      <w:r>
        <w:t>Eine norwegische Längsschnittstudie prüfte Veränderungen der Health Literacy bei 43 Patienten mit chronischen Schmerzstörungen nach Teilnahme an einem individualisierten, multidisziplinären primärärztlichen Behandlungsprogramm.</w:t>
      </w:r>
    </w:p>
    <w:p>
      <w:r>
        <w:rPr>
          <w:b/>
        </w:rPr>
        <w:t xml:space="preserve">Ergebnis: </w:t>
      </w:r>
      <w:r>
        <w:t>Statistisch signifikante Verbesserungen in fünf von neun Health-Literacy-Questionnaire-Domänen vom Ausgangswert zur Halbzeiterhebung und in acht Domänen bis zur Abschlussuntersuchung. Die stärkste Steigerung zeigte die Domäne "ausreichend Informationen zur Gesundheitskontrolle", die Domäne "Navigation im Gesundheitssystem" verbesserte sich über alle Zeitpunkte.</w:t>
      </w:r>
    </w:p>
    <w:p>
      <w:r>
        <w:rPr>
          <w:b/>
          <w:sz w:val="19"/>
        </w:rPr>
        <w:t xml:space="preserve">Übertragbarkeit: </w:t>
      </w:r>
      <w:r>
        <w:rPr>
          <w:sz w:val="19"/>
        </w:rPr>
        <w:t>Skandinavien, vergleichbare Primärversorgungsstrukturen</w:t>
      </w:r>
    </w:p>
    <w:p>
      <w:r>
        <w:rPr>
          <w:color w:val="5A7D3A"/>
          <w:sz w:val="18"/>
        </w:rPr>
        <w:t>https://pubmed.ncbi.nlm.nih.gov/42836695/</w:t>
      </w:r>
    </w:p>
    <w:p>
      <w:pPr>
        <w:pStyle w:val="Heading2"/>
      </w:pPr>
      <w:r>
        <w:t>Patientenbeteiligung in Schlaganfall-Forschung: Struktur schließt Betroffene systematisch aus</w:t>
      </w:r>
    </w:p>
    <w:p>
      <w:r>
        <w:rPr>
          <w:i/>
          <w:color w:val="666666"/>
          <w:sz w:val="18"/>
        </w:rPr>
        <w:t>Wyatt D et al.  ·  Health Expect  ·  Okt. 2026  ·  PMID 42834742</w:t>
      </w:r>
    </w:p>
    <w:p>
      <w:r>
        <w:t>Eine britische qualitative Studie untersuchte Praxis und Barrieren der Patient and Public Involvement (PPI) in 104 Schlaganfall-Forschungsprojekten durch eine nationale Befragung von 31 Forschungsteams.</w:t>
      </w:r>
    </w:p>
    <w:p>
      <w:r>
        <w:rPr>
          <w:b/>
        </w:rPr>
        <w:t xml:space="preserve">Ergebnis: </w:t>
      </w:r>
      <w:r>
        <w:t>Gruppentreffen dominierten die PPI-Praxis und wirkten als "selbstverständliche Infrastruktur"; sie systematisch aus Schlaganfallüberlebende aus, deren Beeinträchtigungen die Teilnahme erschwerten. Mangelnde Mittel für Koordination (insbesondere unbezahlte Zeit) und fehlende spezialisierte Kommunikationsunterstützung limitierten die Machbarkeit. PPI-Gruppen blieben überwiegend "weiß, mittelschichtig mit leichteren Schlaganfallfolgen"; Innovation führte nicht zu inklusiverer Teilhabe.</w:t>
      </w:r>
    </w:p>
    <w:p>
      <w:r>
        <w:rPr>
          <w:b/>
          <w:sz w:val="19"/>
        </w:rPr>
        <w:t xml:space="preserve">Übertragbarkeit: </w:t>
      </w:r>
      <w:r>
        <w:rPr>
          <w:sz w:val="19"/>
        </w:rPr>
        <w:t>Vereinigtes Königreich, NHSForschungsinfrastruktur übertragbar auf deutsches System</w:t>
      </w:r>
    </w:p>
    <w:p>
      <w:r>
        <w:rPr>
          <w:color w:val="5A7D3A"/>
          <w:sz w:val="18"/>
        </w:rPr>
        <w:t>https://pubmed.ncbi.nlm.nih.gov/42834742/</w:t>
      </w:r>
    </w:p>
    <w:p>
      <w:pPr>
        <w:pStyle w:val="Heading2"/>
      </w:pPr>
      <w:r>
        <w:t>Gemeindebeteiligung und Health Literacy stärken integrierte Primärversorgung</w:t>
      </w:r>
    </w:p>
    <w:p>
      <w:r>
        <w:rPr>
          <w:i/>
          <w:color w:val="666666"/>
          <w:sz w:val="18"/>
        </w:rPr>
        <w:t>De Witte NAJ et al.  ·  BMC Prim Care  ·  08.07.2026  ·  PMID 42420849</w:t>
      </w:r>
    </w:p>
    <w:p>
      <w:r>
        <w:t>Eine belgische Mixed-Methods-Studie kombinierte eine Bevölkerungsbefragung (n=1078) mit partizipativen Co-Creation-Sessions, um Gesundheitskompetenz, Bedarf und Prioritäten für integrierte Primärversorgung und Prävention vor Ort zu erfassen.</w:t>
      </w:r>
    </w:p>
    <w:p>
      <w:r>
        <w:rPr>
          <w:b/>
        </w:rPr>
        <w:t xml:space="preserve">Ergebnis: </w:t>
      </w:r>
      <w:r>
        <w:t>Wahrgenommene Gesundheit, Einsamkeit und demografische Faktoren korreliert signifikant. Health Literacy war assoziiert mit Alter, Bildung, wahrgenommener Gesundheit und Einsamkeit. Teilnehmer forderten multidisziplinäre Dienste und wünschten sich Beteiligung von Kommunalpolitikern. Der mehrstufige Prozess mit Bewohnern, vulnerable Gruppen und Gesundheitsfachpersonen führte zu maßgeschneiderten Erkenntnissen für lokal verankerte, zukunftsfähige Versorgungsinitiativen.</w:t>
      </w:r>
    </w:p>
    <w:p>
      <w:r>
        <w:rPr>
          <w:b/>
          <w:sz w:val="19"/>
        </w:rPr>
        <w:t xml:space="preserve">Übertragbarkeit: </w:t>
      </w:r>
      <w:r>
        <w:rPr>
          <w:sz w:val="19"/>
        </w:rPr>
        <w:t>Belgien, vergleichbares europäisches Versicherungssystem, ähnliche Governance-Strukturen</w:t>
      </w:r>
    </w:p>
    <w:p>
      <w:r>
        <w:rPr>
          <w:color w:val="5A7D3A"/>
          <w:sz w:val="18"/>
        </w:rPr>
        <w:t>https://pubmed.ncbi.nlm.nih.gov/42420849/</w:t>
      </w:r>
    </w:p>
    <w:p>
      <w:pPr>
        <w:pStyle w:val="Heading1"/>
      </w:pPr>
      <w:r>
        <w:t>Aufgenommen am 06.10.2026</w:t>
      </w:r>
    </w:p>
    <w:p>
      <w:pPr>
        <w:pStyle w:val="Heading2"/>
      </w:pPr>
      <w:r>
        <w:t>Angst vor Unterzuckerung bei Typ-2-Diabetes: Wirkung von Schulung und Verhaltensmaßnahmen</w:t>
      </w:r>
    </w:p>
    <w:p>
      <w:r>
        <w:rPr>
          <w:i/>
          <w:color w:val="666666"/>
          <w:sz w:val="18"/>
        </w:rPr>
        <w:t>Tang Y et al.  ·  PLoS One  ·  05.10.2026  ·  PMID 42832512</w:t>
      </w:r>
    </w:p>
    <w:p>
      <w:r>
        <w:t>Systematisches Review und Metaanalyse von 11 randomisierten kontrollierten Studien (1.096 Teilnehmer) zu strukturierten Schulungs- und Verhaltensmaßnahmen gegen Hypoglykämiefurcht bei Erwachsenen mit Typ-2-Diabetes.</w:t>
      </w:r>
    </w:p>
    <w:p>
      <w:r>
        <w:rPr>
          <w:b/>
        </w:rPr>
        <w:t xml:space="preserve">Ergebnis: </w:t>
      </w:r>
      <w:r>
        <w:t>Gepoolte explorative Effektgröße für Reduktion von Hypoglykämiefurcht: SMD = −1,89 (95%-KI −2,54 bis −1,25; p &lt; 0,00001). Heterogenität substanziell (Tau² = 1,10; I² = 95 %); 95%-Vorhersageintervall kreuzte Nulllinie (−4,34 bis 0,56), deutet auf unterschiedliche Effekte in künftigen Studien. Kleiner-Studie-Effekte möglich. Evidenzsicherheit sehr niedrig wegen Bias, Heterogenität, Indirektheit. Strukturierte Maßnahmen können Hypoglykämiefurcht senken, Ausmaß und Generalisierbarkeit bleiben unsicher.</w:t>
      </w:r>
    </w:p>
    <w:p>
      <w:r>
        <w:rPr>
          <w:b/>
          <w:sz w:val="19"/>
        </w:rPr>
        <w:t xml:space="preserve">Übertragbarkeit: </w:t>
      </w:r>
      <w:r>
        <w:rPr>
          <w:sz w:val="19"/>
        </w:rPr>
        <w:t>Internationale Evidenz, klinisch relevant; sehr niedrige Evidenzsicherheit begrenzt Handlungsanleitung</w:t>
      </w:r>
    </w:p>
    <w:p>
      <w:r>
        <w:rPr>
          <w:color w:val="5A7D3A"/>
          <w:sz w:val="18"/>
        </w:rPr>
        <w:t>https://pubmed.ncbi.nlm.nih.gov/42832512/</w:t>
      </w:r>
    </w:p>
    <w:p>
      <w:pPr>
        <w:pStyle w:val="Heading2"/>
      </w:pPr>
      <w:r>
        <w:t>Patientengerechte Entscheidungshilfen für Brustkrebs: Was Patienten und Ärzte wirklich brauchen</w:t>
      </w:r>
    </w:p>
    <w:p>
      <w:r>
        <w:rPr>
          <w:i/>
          <w:color w:val="666666"/>
          <w:sz w:val="18"/>
        </w:rPr>
        <w:t>Sdinami S et al.  ·  Psychooncology  ·  Okt. 2026  ·  PMID 42831611</w:t>
      </w:r>
    </w:p>
    <w:p>
      <w:r>
        <w:t>Qualitative Studie mit 52 halbstrukturierten Interviews (20 Patienten, 32 Gesundheitsfachkräfte) zur Identifikation von Anforderungen für eine Entscheidungshilfe (Patient Decision Aid) bei frühem Brustkrebs, geleitet vom Patientenerleben und der klinischen Realität.</w:t>
      </w:r>
    </w:p>
    <w:p>
      <w:r>
        <w:rPr>
          <w:b/>
        </w:rPr>
        <w:t xml:space="preserve">Ergebnis: </w:t>
      </w:r>
      <w:r>
        <w:t>Ärzte berichteten: Heterogene Informationsbedürfnisse, Fehlvorstellungen zu Chemotherapie und Radiotherapie, multifaktorische Entscheidungen. Patienten betonten: Vertrauen zu Ärzten, praktische Infos zu Nebenwirkungen und Bewältigung, Peer-Support (oft über soziale Medien). Kernforderungen für eine PDA: Adaptive Informationstife und -timing, verständliche Antworten zu häufigen Fehlvorstellungen, strukturierte Werteklärung, praktische Vorbereitung auf Nebenwirkungen, Signposting zu geprüften psychosozialen Ressourcen. Kommunikationslücken und ungedeckte psychosoziale Bedarfe in Standardkonsultationen dokumentiert.</w:t>
      </w:r>
    </w:p>
    <w:p>
      <w:r>
        <w:rPr>
          <w:b/>
          <w:sz w:val="19"/>
        </w:rPr>
        <w:t xml:space="preserve">Übertragbarkeit: </w:t>
      </w:r>
      <w:r>
        <w:rPr>
          <w:sz w:val="19"/>
        </w:rPr>
        <w:t>Italien (Mailand), europäisches Gesundheitssystem, klinisch sehr relevant für Design von Entscheidungshilfen</w:t>
      </w:r>
    </w:p>
    <w:p>
      <w:r>
        <w:rPr>
          <w:color w:val="5A7D3A"/>
          <w:sz w:val="18"/>
        </w:rPr>
        <w:t>https://pubmed.ncbi.nlm.nih.gov/42831611/</w:t>
      </w:r>
    </w:p>
    <w:p>
      <w:pPr>
        <w:pStyle w:val="Heading2"/>
      </w:pPr>
      <w:r>
        <w:t>Verständlichkeit und Sicherheit von Leitlinien-basierten LLM-Chatbots zur Patientenbildung in der Rheumatologie</w:t>
      </w:r>
    </w:p>
    <w:p>
      <w:r>
        <w:rPr>
          <w:i/>
          <w:color w:val="666666"/>
          <w:sz w:val="18"/>
        </w:rPr>
        <w:t>Wilhelmi T et al.  ·  J Med Syst  ·  05.10.2026  ·  PMID 42830368</w:t>
      </w:r>
    </w:p>
    <w:p>
      <w:r>
        <w:t>Deutschlandweite multizentrische Evaluation von zehn krankheitsspezifischen Chatbots basierend auf deutschen Rheuma-Leitlinien; 6.291 Patientenfragen wurden erfasst und bewertet, 2.671 Antworten von Nutzern beurteilt, 602 Fragebogen erhoben.</w:t>
      </w:r>
    </w:p>
    <w:p>
      <w:r>
        <w:rPr>
          <w:b/>
        </w:rPr>
        <w:t xml:space="preserve">Ergebnis: </w:t>
      </w:r>
      <w:r>
        <w:t>92,9 % der von Nutzern bewerteten Antworten (2.481 von 2.671) erhielten positive Bewertung. 84,6 % berichteten, der Chatbot sei leicht zu bedienen, 84,1 % fanden Antworten verständlich, 80,2 % hielten ihn nützlich für Patientenbildung. 4,2 % der Interaktionen (263) konnten nicht beantwortet werden. LLM-Bewertung: 95,3 % der Antworten vollständig sicher, 79,1 % vollständig korrekt, aber nur 45,0 % vollständig leitlinienkonform. Schwache Übereinstimmung mit Arztbeurteilung. Anwender bewerteten Chatbots überwiegend positiv; unabhängige Validierung der Qualität bleibt notwendig.</w:t>
      </w:r>
    </w:p>
    <w:p>
      <w:r>
        <w:rPr>
          <w:b/>
          <w:sz w:val="19"/>
        </w:rPr>
        <w:t xml:space="preserve">Übertragbarkeit: </w:t>
      </w:r>
      <w:r>
        <w:rPr>
          <w:sz w:val="19"/>
        </w:rPr>
        <w:t>Deutschland, deutsche Leitlinien und Kliniken, direkt anwendbar</w:t>
      </w:r>
    </w:p>
    <w:p>
      <w:r>
        <w:rPr>
          <w:color w:val="5A7D3A"/>
          <w:sz w:val="18"/>
        </w:rPr>
        <w:t>https://pubmed.ncbi.nlm.nih.gov/42830368/</w:t>
      </w:r>
    </w:p>
    <w:p>
      <w:pPr>
        <w:pStyle w:val="Heading2"/>
      </w:pPr>
      <w:r>
        <w:t>Patientenbeteiligung für Spanischsprachige messbar machen: Validierung eines Instruments</w:t>
      </w:r>
    </w:p>
    <w:p>
      <w:r>
        <w:rPr>
          <w:i/>
          <w:color w:val="666666"/>
          <w:sz w:val="18"/>
        </w:rPr>
        <w:t>Romero CL et al.  ·  Patient Educ Couns  ·  19.09.2026  ·  PMID 42785114</w:t>
      </w:r>
    </w:p>
    <w:p>
      <w:r>
        <w:t>Sprachvalidierungsstudie: Spanische Übersetzung des Patient Engagement Capacity Survey (PECS) mit 18 Items (Subskalen Engagement-Verhalten und Engagement-Kapazität); 253 spanischsprachige und 1.172 englischsprachige Respondenten; Überprüfung metrischer und skalarer Invarianz über Sprachen.</w:t>
      </w:r>
    </w:p>
    <w:p>
      <w:r>
        <w:rPr>
          <w:b/>
        </w:rPr>
        <w:t xml:space="preserve">Ergebnis: </w:t>
      </w:r>
      <w:r>
        <w:t>Konfirmatorische Faktorenanalyse stützte hypothetisierte Struktur in beiden Sprachen. Engagement-Kapazität in Spanisch: RMSEA = 0,103 (überschreitet Benchmark), CFI = 0,989, TLI = 0,984; Engagement-Verhalten in Spanisch: CFI = 0,992, TLI = 0,987, RMSEA = 0,055, SRMR = 0,062. Konfigurale, metrische und skalare Invarianz für beide Subskalen gestützt (90%-RMSEA-KI überlappend, CFI-Abnahmen ≤ 0,01). Spanische Version zeigt Messequivalenz zur englischen Fassung, erleichtert Erfassung von Beteiligungsbarrieredbedarfen bei spanischsprachigen Patienten.</w:t>
      </w:r>
    </w:p>
    <w:p>
      <w:r>
        <w:rPr>
          <w:b/>
          <w:sz w:val="19"/>
        </w:rPr>
        <w:t xml:space="preserve">Übertragbarkeit: </w:t>
      </w:r>
      <w:r>
        <w:rPr>
          <w:sz w:val="19"/>
        </w:rPr>
        <w:t>USA-basiert, aber Sprachvalidierung direkt auf deutschsprachige Kontexte übertragbar für ähnliche Migranten-Instrumente</w:t>
      </w:r>
    </w:p>
    <w:p>
      <w:r>
        <w:rPr>
          <w:color w:val="5A7D3A"/>
          <w:sz w:val="18"/>
        </w:rPr>
        <w:t>https://pubmed.ncbi.nlm.nih.gov/42785114/</w:t>
      </w:r>
    </w:p>
    <w:p>
      <w:pPr>
        <w:pStyle w:val="Heading2"/>
      </w:pPr>
      <w:r>
        <w:t>Unterschiedliche Verständigungen von Patientenbeteiligung in der Krebsversorgung</w:t>
      </w:r>
    </w:p>
    <w:p>
      <w:r>
        <w:rPr>
          <w:i/>
          <w:color w:val="666666"/>
          <w:sz w:val="18"/>
        </w:rPr>
        <w:t>Hult A et al.  ·  Patient Educ Couns  ·  09.09.2026  ·  PMID 42731199</w:t>
      </w:r>
    </w:p>
    <w:p>
      <w:r>
        <w:t>Qualitative Phänomenografiestudie mit 16 Ärzten und Pflegekräften aus schwedischen Kliniken, die deren Verständnis von Patientenbeteiligung bei Krebsbehandlung untersucht.</w:t>
      </w:r>
    </w:p>
    <w:p>
      <w:r>
        <w:rPr>
          <w:b/>
        </w:rPr>
        <w:t xml:space="preserve">Ergebnis: </w:t>
      </w:r>
      <w:r>
        <w:t>Fünf kategorial unterschiedliche Verständigungen identifiziert: von bedingter Beteiligung (unter Vorbehalt ärztlicher Genehmigung) bis zu ganzheitlicher Sicht des Patienten mit Selbstverantwortung. Die Spanne zeigt, dass Patientenbeteiligung in der Praxis stark vom Verständnis der Fachpersonen abhängt und Organisationen gezielt arbeiten müssen, um eine Kultur der echten Beteiligung zu etablieren.</w:t>
      </w:r>
    </w:p>
    <w:p>
      <w:r>
        <w:rPr>
          <w:b/>
          <w:sz w:val="19"/>
        </w:rPr>
        <w:t xml:space="preserve">Übertragbarkeit: </w:t>
      </w:r>
      <w:r>
        <w:rPr>
          <w:sz w:val="19"/>
        </w:rPr>
        <w:t>Schweden, vergleichbares Universitätsklinikumsystem wie DACH</w:t>
      </w:r>
    </w:p>
    <w:p>
      <w:r>
        <w:rPr>
          <w:color w:val="5A7D3A"/>
          <w:sz w:val="18"/>
        </w:rPr>
        <w:t>https://pubmed.ncbi.nlm.nih.gov/42731199/</w:t>
      </w:r>
    </w:p>
    <w:p>
      <w:pPr>
        <w:pStyle w:val="Heading2"/>
      </w:pPr>
      <w:r>
        <w:t>Qualität französischsprachiger Internetinformationen zu Rückenschmerz und Lumbalgie</w:t>
      </w:r>
    </w:p>
    <w:p>
      <w:r>
        <w:rPr>
          <w:i/>
          <w:color w:val="666666"/>
          <w:sz w:val="18"/>
        </w:rPr>
        <w:t>Homs AF et al.  ·  Patient Educ Couns  ·  04.09.2026  ·  PMID 42710331</w:t>
      </w:r>
    </w:p>
    <w:p>
      <w:r>
        <w:t>Systematische Bewertung von 88 französischsprachigen nichtkommerziellen Webseiten zu Diagnose und Behandlung von Rückenschmerz und radikulären Schmerzen nach Glaubwürdigkeit, Lesbarkeit und Genauigkeit gegen klinische Leitlinien.</w:t>
      </w:r>
    </w:p>
    <w:p>
      <w:r>
        <w:rPr>
          <w:b/>
        </w:rPr>
        <w:t xml:space="preserve">Ergebnis: </w:t>
      </w:r>
      <w:r>
        <w:t>Nur 22 % der Webseitenempfehlungen waren vollständig genau (institutionelle Seiten 28 %, andere 15 %, p &lt; 0,001). Lediglich 41 % der Lumbalgieempfehlungen und 26 % der radikulären Schmerzempfehlungen waren umfassend. Nur 19 % offenbarten Interessenskonflikte, 60 % zitierten Quellen. Pharmacologische Therapien wurden oft unangemessen beworben. Patienten finden überwiegend unvollständige und häufig fehlerhafte Online-Information.</w:t>
      </w:r>
    </w:p>
    <w:p>
      <w:r>
        <w:rPr>
          <w:b/>
          <w:sz w:val="19"/>
        </w:rPr>
        <w:t xml:space="preserve">Übertragbarkeit: </w:t>
      </w:r>
      <w:r>
        <w:rPr>
          <w:sz w:val="19"/>
        </w:rPr>
        <w:t>Frankreich/Belgien/Schweiz, französischsprachig; Qualitätsprobleme dürften deutschsprachigen Raum ähneln</w:t>
      </w:r>
    </w:p>
    <w:p>
      <w:r>
        <w:rPr>
          <w:color w:val="5A7D3A"/>
          <w:sz w:val="18"/>
        </w:rPr>
        <w:t>https://pubmed.ncbi.nlm.nih.gov/42710331/</w:t>
      </w:r>
    </w:p>
    <w:p>
      <w:pPr>
        <w:pStyle w:val="Heading1"/>
      </w:pPr>
      <w:r>
        <w:t>Aufgenommen am 05.10.2026</w:t>
      </w:r>
    </w:p>
    <w:p>
      <w:pPr>
        <w:pStyle w:val="Heading2"/>
      </w:pPr>
      <w:r>
        <w:t>GPT-4 liefert bessere Krebsinformationen als Google</w:t>
      </w:r>
    </w:p>
    <w:p>
      <w:r>
        <w:rPr>
          <w:i/>
          <w:color w:val="666666"/>
          <w:sz w:val="18"/>
        </w:rPr>
        <w:t>Smick AH et al.  ·  JMIR Cancer  ·  29.09.2026  ·  PMID 42809848</w:t>
      </w:r>
    </w:p>
    <w:p>
      <w:r>
        <w:t>Vergleichende Studie, die GPT-4 und Google bei der Beantwortung von 21 standardisierten Patientenfragen zu Endometrial-, Ovarial- und Zervixkarzinom evaluierte, bewertet von 4 blinden Gynäkologen.</w:t>
      </w:r>
    </w:p>
    <w:p>
      <w:r>
        <w:rPr>
          <w:b/>
        </w:rPr>
        <w:t xml:space="preserve">Ergebnis: </w:t>
      </w:r>
      <w:r>
        <w:t>GPT-4 erreichte Median-Genauigkeit 6,0/6 vs. Google 5,0/6 (p=0,04), Vollständigkeit 3,0/3 vs. 2,0/3 (p=0,009) und Referenzqualität 3,0/3 vs. 2,0/3 (p=0,009). GPT-4 überbot alle menschlichen Vergleichsgruppen in Genauigkeit und Vollständigkeit deutlich.</w:t>
      </w:r>
    </w:p>
    <w:p>
      <w:r>
        <w:rPr>
          <w:b/>
          <w:sz w:val="19"/>
        </w:rPr>
        <w:t xml:space="preserve">Übertragbarkeit: </w:t>
      </w:r>
      <w:r>
        <w:rPr>
          <w:sz w:val="19"/>
        </w:rPr>
        <w:t>USA, aber Fragestellung zu Informationsqualität sprach- und systemunabhängig</w:t>
      </w:r>
    </w:p>
    <w:p>
      <w:r>
        <w:rPr>
          <w:color w:val="5A7D3A"/>
          <w:sz w:val="18"/>
        </w:rPr>
        <w:t>https://pubmed.ncbi.nlm.nih.gov/42809848/</w:t>
      </w:r>
    </w:p>
    <w:p>
      <w:pPr>
        <w:pStyle w:val="Heading2"/>
      </w:pPr>
      <w:r>
        <w:t>Große Sprachmodelle antworten in Englisch und Chinesisch gleich genau</w:t>
      </w:r>
    </w:p>
    <w:p>
      <w:r>
        <w:rPr>
          <w:i/>
          <w:color w:val="666666"/>
          <w:sz w:val="18"/>
        </w:rPr>
        <w:t>Wu Z et al.  ·  J Med Internet Res  ·  29.09.2026  ·  PMID 42809827</w:t>
      </w:r>
    </w:p>
    <w:p>
      <w:r>
        <w:t>Kontrollierte Evaluation von 11 Large Language Models bei 150 binären Verbraucherfragen zu Gesundheit in Englisch und Chinesisch, unter verschiedenen Prompt-Bedingungen und Fehlerkorrekturstrategien.</w:t>
      </w:r>
    </w:p>
    <w:p>
      <w:r>
        <w:rPr>
          <w:b/>
        </w:rPr>
        <w:t xml:space="preserve">Ergebnis: </w:t>
      </w:r>
      <w:r>
        <w:t>Englisch und Chinesisch zeigten vergleichbare Gesamtgenauigkeit (95,27% vs. 93,82%, p=0,99), kein signifikanter Sprachhaupt-Effekt. DeepSeek zeigte signifikantes Englisch-Verständlichkeitsdefizit (β=-0,73, p=0,016); Fehlerattribution erreichte höchste Korrekturrate (55,56%). Keine universellen sprachgebundenen Qualitätsprobleme, aber modellspezifische Interaktionen.</w:t>
      </w:r>
    </w:p>
    <w:p>
      <w:r>
        <w:rPr>
          <w:b/>
          <w:sz w:val="19"/>
        </w:rPr>
        <w:t xml:space="preserve">Übertragbarkeit: </w:t>
      </w:r>
      <w:r>
        <w:rPr>
          <w:sz w:val="19"/>
        </w:rPr>
        <w:t>China/Mehrsprachigkeit, aber Befund zur sprachlichen Gleichheit modellübergreifend relevant</w:t>
      </w:r>
    </w:p>
    <w:p>
      <w:r>
        <w:rPr>
          <w:color w:val="5A7D3A"/>
          <w:sz w:val="18"/>
        </w:rPr>
        <w:t>https://pubmed.ncbi.nlm.nih.gov/42809827/</w:t>
      </w:r>
    </w:p>
    <w:p>
      <w:pPr>
        <w:pStyle w:val="Heading2"/>
      </w:pPr>
      <w:r>
        <w:t>Digitale Gesundheitskompetenz-Schulung für ältere Erwachsene verbessert Informationsverhalten</w:t>
      </w:r>
    </w:p>
    <w:p>
      <w:r>
        <w:rPr>
          <w:i/>
          <w:color w:val="666666"/>
          <w:sz w:val="18"/>
        </w:rPr>
        <w:t>Rosle NH et al.  ·  PLoS One  ·  28.09.2026  ·  PMID 42804489</w:t>
      </w:r>
    </w:p>
    <w:p>
      <w:r>
        <w:t>Studienprotokoll einer randomisierten Cluster-kontrollierten Studie zur Evaluierung des ODDHeaL-Moduls für digitale Gesundheitskompetenz bei über 55-Jährigen in Malaysia mit Messungen zu Selbstwirksamkeit und Informationssuche.</w:t>
      </w:r>
    </w:p>
    <w:p>
      <w:r>
        <w:rPr>
          <w:b/>
        </w:rPr>
        <w:t xml:space="preserve">Ergebnis: </w:t>
      </w:r>
      <w:r>
        <w:t>Studienprotokoll beschreibt geplante Messungen an Baseline und nach 2 Monaten. Erwartet werden Verbesserungen in digitaler Gesundheitskompetenz, Wahrnehmung von Online-Gesundheitsinformationen, Selbstwirksamkeit und Informationssuchverhalten durch das systematisch entwickelte Modul basierend auf ADDIE-Modell.</w:t>
      </w:r>
    </w:p>
    <w:p>
      <w:r>
        <w:rPr>
          <w:b/>
          <w:sz w:val="19"/>
        </w:rPr>
        <w:t xml:space="preserve">Übertragbarkeit: </w:t>
      </w:r>
      <w:r>
        <w:rPr>
          <w:sz w:val="19"/>
        </w:rPr>
        <w:t>Malaysia, aber Designprinzipien für ältere Zielgruppen länderübergreifend adaptierbar</w:t>
      </w:r>
    </w:p>
    <w:p>
      <w:r>
        <w:rPr>
          <w:color w:val="5A7D3A"/>
          <w:sz w:val="18"/>
        </w:rPr>
        <w:t>https://pubmed.ncbi.nlm.nih.gov/42804489/</w:t>
      </w:r>
    </w:p>
    <w:p>
      <w:pPr>
        <w:pStyle w:val="Heading2"/>
      </w:pPr>
      <w:r>
        <w:t>Vertrauensvolle Arzt-Patient-Beziehung fördert Beteiligung an Entscheidungen</w:t>
      </w:r>
    </w:p>
    <w:p>
      <w:r>
        <w:rPr>
          <w:i/>
          <w:color w:val="666666"/>
          <w:sz w:val="18"/>
        </w:rPr>
        <w:t>Toyoshima H et al.  ·  BMC Res Notes  ·  21.09.2026  ·  PMID 42768368</w:t>
      </w:r>
    </w:p>
    <w:p>
      <w:r>
        <w:t>Querschnittsstudie mit Patienten mit chronisch-entzündlichen Darmerkrankungen, die Faktoren der Patientenbeteiligung an Behandlungsentscheidungen mittels vereinfachter PTES-Skala untersucht.</w:t>
      </w:r>
    </w:p>
    <w:p>
      <w:r>
        <w:rPr>
          <w:b/>
        </w:rPr>
        <w:t xml:space="preserve">Ergebnis: </w:t>
      </w:r>
      <w:r>
        <w:t>Behandlungsoptionen (β = 0,191), Vertrauen zum behandelnden Arzt (β = 0,119), Komplikationen (β = 0,128) und Anzahl vertrauter Fachpersonen (β = 0,099) waren die stärksten Einflussfaktoren. Multiple Optionen und Vertrauensaufbau erklärten die höchste Varianz in der Patientenbeteiligung.</w:t>
      </w:r>
    </w:p>
    <w:p>
      <w:r>
        <w:rPr>
          <w:b/>
          <w:sz w:val="19"/>
        </w:rPr>
        <w:t xml:space="preserve">Übertragbarkeit: </w:t>
      </w:r>
      <w:r>
        <w:rPr>
          <w:sz w:val="19"/>
        </w:rPr>
        <w:t>Japan, aber Mechanismus der Vertrauenswirkung kulturübergreifend relevant</w:t>
      </w:r>
    </w:p>
    <w:p>
      <w:r>
        <w:rPr>
          <w:color w:val="5A7D3A"/>
          <w:sz w:val="18"/>
        </w:rPr>
        <w:t>https://pubmed.ncbi.nlm.nih.gov/42768368/</w:t>
      </w:r>
    </w:p>
    <w:p>
      <w:pPr>
        <w:pStyle w:val="Heading2"/>
      </w:pPr>
      <w:r>
        <w:t>Digitale Schulung und Bewegungstherapie verbessern Lebensqualität bei Knie- und Hüftarthrose</w:t>
      </w:r>
    </w:p>
    <w:p>
      <w:r>
        <w:rPr>
          <w:i/>
          <w:color w:val="666666"/>
          <w:sz w:val="18"/>
        </w:rPr>
        <w:t>Kiadaliri A et al.  ·  Health Qual Life Outcomes  ·  19.09.2026  ·  PMID 42764365</w:t>
      </w:r>
    </w:p>
    <w:p>
      <w:r>
        <w:t>Longitudinale Registerstudie mit über 15.000 Teilnehmern eines digitalen Bildungs- und Bewegungsprogramms für Knie- und Hüftarthrose, gemessen mit EQ-5D-5L nach 3 und 12 Monaten.</w:t>
      </w:r>
    </w:p>
    <w:p>
      <w:r>
        <w:rPr>
          <w:b/>
        </w:rPr>
        <w:t xml:space="preserve">Ergebnis: </w:t>
      </w:r>
      <w:r>
        <w:t>46,9% der Teilnehmer zeigten nach 3 Monaten, 50,4% nach 12 Monaten verbesserte Lebensqualitätsprofile; 19,5% bzw. 20,1% verschlechterten sich; 19,7% bzw. 18,7% zeigten gemischte Veränderungen. Das Programm zeigte heterogene Verläufe mit erheblicher Wirkung bei etwa der Hälfte der Teilnehmer.</w:t>
      </w:r>
    </w:p>
    <w:p>
      <w:r>
        <w:rPr>
          <w:b/>
          <w:sz w:val="19"/>
        </w:rPr>
        <w:t xml:space="preserve">Übertragbarkeit: </w:t>
      </w:r>
      <w:r>
        <w:rPr>
          <w:sz w:val="19"/>
        </w:rPr>
        <w:t>Schweden, vergleichbares Versicherungssystem und Digitalisierungsgrad</w:t>
      </w:r>
    </w:p>
    <w:p>
      <w:r>
        <w:rPr>
          <w:color w:val="5A7D3A"/>
          <w:sz w:val="18"/>
        </w:rPr>
        <w:t>https://pubmed.ncbi.nlm.nih.gov/42764365/</w:t>
      </w:r>
    </w:p>
    <w:p>
      <w:pPr>
        <w:pStyle w:val="Heading1"/>
      </w:pPr>
      <w:r>
        <w:t>Aufgenommen am 04.10.2026</w:t>
      </w:r>
    </w:p>
    <w:p>
      <w:pPr>
        <w:pStyle w:val="Heading2"/>
      </w:pPr>
      <w:r>
        <w:t>Psychoedukation für Jugendliche mit Psychose-Risiko: Verbesserung von Symptomen und Adhärenz</w:t>
      </w:r>
    </w:p>
    <w:p>
      <w:r>
        <w:rPr>
          <w:i/>
          <w:color w:val="666666"/>
          <w:sz w:val="18"/>
        </w:rPr>
        <w:t>Addington J et al.  ·  Early Interv Psychiatry  ·  Okt. 2026  ·  PMID 42827309</w:t>
      </w:r>
    </w:p>
    <w:p>
      <w:r>
        <w:t>Studie untersuchte, ob acht Sitzungen Psychoedukation für 54 Jugendliche mit erhöhtem klinischen Psychoserisiko zu klinischen Verbesserungen und zur Einhaltung der Behandlung führen.</w:t>
      </w:r>
    </w:p>
    <w:p>
      <w:r>
        <w:rPr>
          <w:b/>
        </w:rPr>
        <w:t xml:space="preserve">Ergebnis: </w:t>
      </w:r>
      <w:r>
        <w:t>Nach 2–6 Monaten zeigten sich signifikante Verbesserungen: abgeschwächte psychotische Symptome (p &lt; 0,0001, Effektgröße 0,36), Depression und Angst (p &lt; 0,001, ES 0,51), Distress (p &lt; 0,01, ES 0,36) und defaitistische Überzeugungen (p &lt; 0,01, ES 0,34). 59 % absolvierten alle Sitzungen, nur 7,4 % brachen ab. Klinisch wertvolle und leicht umsetzbare Intervention mit limitierter Dropout-Rate.</w:t>
      </w:r>
    </w:p>
    <w:p>
      <w:r>
        <w:rPr>
          <w:b/>
          <w:sz w:val="19"/>
        </w:rPr>
        <w:t xml:space="preserve">Übertragbarkeit: </w:t>
      </w:r>
      <w:r>
        <w:rPr>
          <w:sz w:val="19"/>
        </w:rPr>
        <w:t>Kanada, Psychiatrieeinrichtungen in westlichen Systemen vergleichbar</w:t>
      </w:r>
    </w:p>
    <w:p>
      <w:r>
        <w:rPr>
          <w:color w:val="5A7D3A"/>
          <w:sz w:val="18"/>
        </w:rPr>
        <w:t>https://pubmed.ncbi.nlm.nih.gov/42827309/</w:t>
      </w:r>
    </w:p>
    <w:p>
      <w:pPr>
        <w:pStyle w:val="Heading2"/>
      </w:pPr>
      <w:r>
        <w:t>Barrieren für Herzrehabilitation: Strukturelle, individuelle und Systemfaktoren</w:t>
      </w:r>
    </w:p>
    <w:p>
      <w:r>
        <w:rPr>
          <w:i/>
          <w:color w:val="666666"/>
          <w:sz w:val="18"/>
        </w:rPr>
        <w:t>Chin DC et al.  ·  Med J Malaysia  ·  Sept. 2026  ·  PMID 42813492</w:t>
      </w:r>
    </w:p>
    <w:p>
      <w:r>
        <w:t>Scoping Review identifizierte Determinanten der Teilnahme an Phase-II-Herzrehabilitationsprogrammen durch systematische Analyse von zehn Studien aus diversen Ländern.</w:t>
      </w:r>
    </w:p>
    <w:p>
      <w:r>
        <w:rPr>
          <w:b/>
        </w:rPr>
        <w:t xml:space="preserve">Ergebnis: </w:t>
      </w:r>
      <w:r>
        <w:t>Strukturelle und logistische Barrieren waren dominant: Transport, Entfernung, Zeit, Kosten. Soziodemografische Faktoren (höheres Alter, niedrigere Bildung, niedrigeres Einkommen, Migrationshintergrund) waren mit niedriger Teilnahme assoziiert. Mangelnde Aufklärung, schwache Ärztliche Empfehlungen und psychosoziale Barrieren (Angst, begrenzte soziale Unterstützung) behinderten Teilnahme. Komplex wechselwirkende Faktoren erfordern Home-Based- und Hybrid-Modelle.</w:t>
      </w:r>
    </w:p>
    <w:p>
      <w:r>
        <w:rPr>
          <w:b/>
          <w:sz w:val="19"/>
        </w:rPr>
        <w:t xml:space="preserve">Übertragbarkeit: </w:t>
      </w:r>
      <w:r>
        <w:rPr>
          <w:sz w:val="19"/>
        </w:rPr>
        <w:t>Multinationale Evidenz, vergleichbare Versorgungsstrukturen in Deutschland</w:t>
      </w:r>
    </w:p>
    <w:p>
      <w:r>
        <w:rPr>
          <w:color w:val="5A7D3A"/>
          <w:sz w:val="18"/>
        </w:rPr>
        <w:t>https://pubmed.ncbi.nlm.nih.gov/42813492/</w:t>
      </w:r>
    </w:p>
    <w:p>
      <w:pPr>
        <w:pStyle w:val="Heading2"/>
      </w:pPr>
      <w:r>
        <w:t>Textnachrichten und Ressourcenanbindung verstärken Leseförderung bei Latino-Familien</w:t>
      </w:r>
    </w:p>
    <w:p>
      <w:r>
        <w:rPr>
          <w:i/>
          <w:color w:val="666666"/>
          <w:sz w:val="18"/>
        </w:rPr>
        <w:t>Jimenez ME et al.  ·  Pediatrics  ·  01.10.2026  ·  PMID 42778186</w:t>
      </w:r>
    </w:p>
    <w:p>
      <w:r>
        <w:t>Randomisierte Studie prüfte, ob Text-Erinnerungen und Vermittlung zu Gemeindeangeboten die Effekte von Leseförderung in der Primärversorgung (Reach Out and Read) bei 630 Latino-Familien mit Kleinkindern verstärken.</w:t>
      </w:r>
    </w:p>
    <w:p>
      <w:r>
        <w:rPr>
          <w:b/>
        </w:rPr>
        <w:t xml:space="preserve">Ergebnis: </w:t>
      </w:r>
      <w:r>
        <w:t>Nach 18 Monaten: LP+Text-Gruppe zeigte höhere Sprachentwicklung (Effektgröße 0,391; p = 0,001). LP+Text+Ressourcen-Gruppe erzielte höhere sozial-emotionale Entwicklung (ES 0,300; p = 0,03) und bei 9 Monaten bessere verbale Responsivität (ES 0,400; p &lt; 0,001). Beide Strategien mit hohem Skalierungspotenzial verbesserten Effekte deutlich.</w:t>
      </w:r>
    </w:p>
    <w:p>
      <w:r>
        <w:rPr>
          <w:b/>
          <w:sz w:val="19"/>
        </w:rPr>
        <w:t xml:space="preserve">Übertragbarkeit: </w:t>
      </w:r>
      <w:r>
        <w:rPr>
          <w:sz w:val="19"/>
        </w:rPr>
        <w:t>USA-Studie, Strukturen aber auch in Deutschland umsetzbar, Sprachbarriereabbau ist zentral</w:t>
      </w:r>
    </w:p>
    <w:p>
      <w:r>
        <w:rPr>
          <w:color w:val="5A7D3A"/>
          <w:sz w:val="18"/>
        </w:rPr>
        <w:t>https://pubmed.ncbi.nlm.nih.gov/42778186/</w:t>
      </w:r>
    </w:p>
    <w:p>
      <w:pPr>
        <w:pStyle w:val="Heading2"/>
      </w:pPr>
      <w:r>
        <w:t>Digitale Gesundheitskompetenz fördert Gesundheitsinformationen-Annahme bei Studierenden</w:t>
      </w:r>
    </w:p>
    <w:p>
      <w:r>
        <w:rPr>
          <w:i/>
          <w:color w:val="666666"/>
          <w:sz w:val="18"/>
        </w:rPr>
        <w:t>Sun Y et al.  ·  Front Public Health  ·  08.09.2026  ·  PMID 42774164</w:t>
      </w:r>
    </w:p>
    <w:p>
      <w:r>
        <w:t>Querschnittstudie mit 3148 Studierenden prüfte, wie kritische und interaktive Digital-Health-Literacy mit Annahme von Gesundheitsinformationen assoziiert ist und welche Pfade (Risikoperzepton, Selbstwirksamkeit) vermittelnd wirken.</w:t>
      </w:r>
    </w:p>
    <w:p>
      <w:r>
        <w:rPr>
          <w:b/>
        </w:rPr>
        <w:t xml:space="preserve">Ergebnis: </w:t>
      </w:r>
      <w:r>
        <w:t>Digitale Health Literacy war positiv mit Informationsannahme korreliert (r = 0,416; p &lt; 0,001). Totale Assoziation: B = 0,534. Direkter Effekt 64,3 %, indirekt über Risikoperzepton 16,9 %, über Trainings-Selbstwirksamkeit 14,9 %, über serielle Pfade 3,8 %. Direkte Assoziation dominiert, serielle Route gering. Cross-sektional, daher statistische Dekomposition statt Kausalität.</w:t>
      </w:r>
    </w:p>
    <w:p>
      <w:r>
        <w:rPr>
          <w:b/>
          <w:sz w:val="19"/>
        </w:rPr>
        <w:t xml:space="preserve">Übertragbarkeit: </w:t>
      </w:r>
      <w:r>
        <w:rPr>
          <w:sz w:val="19"/>
        </w:rPr>
        <w:t>China, Hochschul- und Digitalisierungskontext ähnlich international, Befunde zu Mediationspfaden generalisierbar</w:t>
      </w:r>
    </w:p>
    <w:p>
      <w:r>
        <w:rPr>
          <w:color w:val="5A7D3A"/>
          <w:sz w:val="18"/>
        </w:rPr>
        <w:t>https://pubmed.ncbi.nlm.nih.gov/42774164/</w:t>
      </w:r>
    </w:p>
    <w:p>
      <w:pPr>
        <w:pStyle w:val="Heading2"/>
      </w:pPr>
      <w:r>
        <w:t>Lupusnephritis-Videos auf TikTok und Bilibili: Qualität, Zuverlässigkeit und Engagement</w:t>
      </w:r>
    </w:p>
    <w:p>
      <w:r>
        <w:rPr>
          <w:i/>
          <w:color w:val="666666"/>
          <w:sz w:val="18"/>
        </w:rPr>
        <w:t>Chen J et al.  ·  Lupus Sci Med  ·  22.09.2026  ·  PMID 42772804</w:t>
      </w:r>
    </w:p>
    <w:p>
      <w:r>
        <w:t>Querschnittanalyse von 250 Lupusnephritis-Videos (TikTok n=143, Bilibili n=107) beurteilte Inhaltsqualität, Zuverlässigkeit und Zusammenhang zwischen Nutzerengagement und wissenschaftlicher Qualität.</w:t>
      </w:r>
    </w:p>
    <w:p>
      <w:r>
        <w:rPr>
          <w:b/>
        </w:rPr>
        <w:t xml:space="preserve">Ergebnis: </w:t>
      </w:r>
      <w:r>
        <w:t>Nutzerengagement (Likes, Kommentare, Anteile) war auf TikTok signifikant höher (p &lt; 0,05); Anteil professioneller Uploader ebenfalls höher. TikTok hatte leicht höhere DISCERN-Scores (p &lt; 0,05). Professionelle Institutionen übertrafen nicht-professionelle Uploader in allen Qualitätsindikatoren (p &lt; 0,05). Hohe Engagement-Korrelationen untereinander, aber schwache Korrelationen mit Qualitätsscores. Popularität widerspiegelt wissenschaftliche Qualität schlecht.</w:t>
      </w:r>
    </w:p>
    <w:p>
      <w:r>
        <w:rPr>
          <w:b/>
          <w:sz w:val="19"/>
        </w:rPr>
        <w:t xml:space="preserve">Übertragbarkeit: </w:t>
      </w:r>
      <w:r>
        <w:rPr>
          <w:sz w:val="19"/>
        </w:rPr>
        <w:t>China, beide Plattformen international genutzt, Befund zu Qualitäts-Engagement-Lücke übertragbar</w:t>
      </w:r>
    </w:p>
    <w:p>
      <w:r>
        <w:rPr>
          <w:color w:val="5A7D3A"/>
          <w:sz w:val="18"/>
        </w:rPr>
        <w:t>https://pubmed.ncbi.nlm.nih.gov/42772804/</w:t>
      </w:r>
    </w:p>
    <w:p>
      <w:pPr>
        <w:pStyle w:val="Heading2"/>
      </w:pPr>
      <w:r>
        <w:t>Mundgesundheitskompetenz älterer Erwachsener: Pfade zu Wissen und Bewusstsein</w:t>
      </w:r>
    </w:p>
    <w:p>
      <w:r>
        <w:rPr>
          <w:i/>
          <w:color w:val="666666"/>
          <w:sz w:val="18"/>
        </w:rPr>
        <w:t>Jiang L et al.  ·  Clin Interv Aging  ·  31.07.2026  ·  PMID 42553712</w:t>
      </w:r>
    </w:p>
    <w:p>
      <w:r>
        <w:t>Pfadanalyse mit 423 älteren Chinesen (65–74 Jahre) untersuchte, welche Faktoren direkt und indirekt mit Mundgesundheits-Literacy verbunden sind—Bildung, Zahnbehandlung, Zahnstatus.</w:t>
      </w:r>
    </w:p>
    <w:p>
      <w:r>
        <w:rPr>
          <w:b/>
        </w:rPr>
        <w:t xml:space="preserve">Ergebnis: </w:t>
      </w:r>
      <w:r>
        <w:t>Geschlecht und Bildung beeinflussten Mundgesundheits-Literacy indirekt über Mediatorvariablen. Zahnbehandlung war direkt mit höherem Krankheitsbewusstsein assoziiert; Zahnersatznutzung mit besseren Gesundheitsüberzeugungen. Pfadanalyse identifizierte drei signifikante indirekte Effekte. Zahnkontakte bieten Chancen für Gesundheitsaufklärung.</w:t>
      </w:r>
    </w:p>
    <w:p>
      <w:r>
        <w:rPr>
          <w:b/>
          <w:sz w:val="19"/>
        </w:rPr>
        <w:t xml:space="preserve">Übertragbarkeit: </w:t>
      </w:r>
      <w:r>
        <w:rPr>
          <w:sz w:val="19"/>
        </w:rPr>
        <w:t>China, Ähnlichkeiten in Altersdemografie und Prävention, Befunde zu Behandlungskontakten übertragbar</w:t>
      </w:r>
    </w:p>
    <w:p>
      <w:r>
        <w:rPr>
          <w:color w:val="5A7D3A"/>
          <w:sz w:val="18"/>
        </w:rPr>
        <w:t>https://pubmed.ncbi.nlm.nih.gov/42553712/</w:t>
      </w:r>
    </w:p>
    <w:p>
      <w:pPr>
        <w:pStyle w:val="Heading1"/>
      </w:pPr>
      <w:r>
        <w:t>Aufgenommen am 03.10.2026</w:t>
      </w:r>
    </w:p>
    <w:p>
      <w:pPr>
        <w:pStyle w:val="Heading2"/>
      </w:pPr>
      <w:r>
        <w:t>Patienteninformation zu Hochtechtechnologien in der Krebsbehandlung: Herausforderungen und Lösungen</w:t>
      </w:r>
    </w:p>
    <w:p>
      <w:r>
        <w:rPr>
          <w:i/>
          <w:color w:val="666666"/>
          <w:sz w:val="18"/>
        </w:rPr>
        <w:t>Gehl J et al.  ·  Acta Oncol  ·  02.10.2026  ·  PMID 42825514</w:t>
      </w:r>
    </w:p>
    <w:p>
      <w:r>
        <w:t>Europäisches Expertenpanel mit Patientenbeteiligung identifizierte Barrieren bei der Vermittlung komplexer Krebstechnologien (Nuklearmedizin, Radiotherapie, Zelltherapien) und entwickelte Informationsmaterialien für Patienten.</w:t>
      </w:r>
    </w:p>
    <w:p>
      <w:r>
        <w:rPr>
          <w:b/>
        </w:rPr>
        <w:t xml:space="preserve">Ergebnis: </w:t>
      </w:r>
      <w:r>
        <w:t>Sieben Technologiedomänen wurden analysiert; Hauptproblem war Mangel an klaren Informationspfaden und zuverlässigen Informationsquellen. Daraus resultierten konkrete Patienteninformationswerkzeuge als Supplementmaterial. Komplexität und fehlende Standardisierung erschweren Zugang zu verlässlicher Information erheblich.</w:t>
      </w:r>
    </w:p>
    <w:p>
      <w:r>
        <w:rPr>
          <w:b/>
          <w:sz w:val="19"/>
        </w:rPr>
        <w:t xml:space="preserve">Übertragbarkeit: </w:t>
      </w:r>
      <w:r>
        <w:rPr>
          <w:sz w:val="19"/>
        </w:rPr>
        <w:t>Europa, multizentrisch, Beteiligung von Patientenvertretern; Materialien müssen auf nationale Systeme adaptiert werden.</w:t>
      </w:r>
    </w:p>
    <w:p>
      <w:r>
        <w:rPr>
          <w:color w:val="5A7D3A"/>
          <w:sz w:val="18"/>
        </w:rPr>
        <w:t>https://pubmed.ncbi.nlm.nih.gov/42825514/</w:t>
      </w:r>
    </w:p>
    <w:p>
      <w:pPr>
        <w:pStyle w:val="Heading2"/>
      </w:pPr>
      <w:r>
        <w:t>Nachbarschaftsbasierte Gehirngesundheitskompetenz: Mehrsprachiges Outreach-Modell für unterversorgte Gemeinden</w:t>
      </w:r>
    </w:p>
    <w:p>
      <w:r>
        <w:rPr>
          <w:i/>
          <w:color w:val="666666"/>
          <w:sz w:val="18"/>
        </w:rPr>
        <w:t>Lanata S et al.  ·  Front Public Health  ·  17.09.2026  ·  PMID 42823958</w:t>
      </w:r>
    </w:p>
    <w:p>
      <w:r>
        <w:t>Beschreibung eines fünfjährigen Community-Outreach-Programms der UCSF mit Fokus auf Gehirngesundheit, kognitives Screening und Demenzforschung in unterversorgten San-Francisco-Vierteln, durchgeführt in fünf Sprachen.</w:t>
      </w:r>
    </w:p>
    <w:p>
      <w:r>
        <w:rPr>
          <w:b/>
        </w:rPr>
        <w:t xml:space="preserve">Ergebnis: </w:t>
      </w:r>
      <w:r>
        <w:t>2019–2025: Repräsentation von Personen aus vulnerablen Vierteln in Forschung deutlich angestiegen (konkrete Steigerung gegenüber Vorjahren angegeben). Viersäulenmodell (Gehirngesundheitserziehung, Kunst-/Bewegungsprogramme, gemeindebasierte kognitive Kliniken, mehrsprachige Medien) baute haltbare Partnerschaften auf und verbesserte Zugang zu kulturell responsiver Versorgung.</w:t>
      </w:r>
    </w:p>
    <w:p>
      <w:r>
        <w:rPr>
          <w:b/>
          <w:sz w:val="19"/>
        </w:rPr>
        <w:t xml:space="preserve">Übertragbarkeit: </w:t>
      </w:r>
      <w:r>
        <w:rPr>
          <w:sz w:val="19"/>
        </w:rPr>
        <w:t>USA, aber Prinzip der mehrsprachigen, nachbarschaftsorientierten Engagement-Strategien für alle Länder mit Migranten- und Minderheitenpopulationen relevant.</w:t>
      </w:r>
    </w:p>
    <w:p>
      <w:r>
        <w:rPr>
          <w:color w:val="5A7D3A"/>
          <w:sz w:val="18"/>
        </w:rPr>
        <w:t>https://pubmed.ncbi.nlm.nih.gov/42823958/</w:t>
      </w:r>
    </w:p>
    <w:p>
      <w:pPr>
        <w:pStyle w:val="Heading2"/>
      </w:pPr>
      <w:r>
        <w:t>Patientenerfahrungen mit digitaler Physiotherapie nach Geburt: Was Frauen akzeptieren</w:t>
      </w:r>
    </w:p>
    <w:p>
      <w:r>
        <w:rPr>
          <w:i/>
          <w:color w:val="666666"/>
          <w:sz w:val="18"/>
        </w:rPr>
        <w:t>Jönsson H et al.  ·  BMC Musculoskelet Disord  ·  11.09.2026  ·  PMID 42823687</w:t>
      </w:r>
    </w:p>
    <w:p>
      <w:r>
        <w:t>Qualitative Studie mit 14 Frauen in Schweden zu ihrer Erfahrung mit Telerehabilitation bei postpartaler Beckenbodendysfunktion.</w:t>
      </w:r>
    </w:p>
    <w:p>
      <w:r>
        <w:rPr>
          <w:b/>
        </w:rPr>
        <w:t xml:space="preserve">Ergebnis: </w:t>
      </w:r>
      <w:r>
        <w:t>Telerehabilitation wurde als sinnvolle Ergänzung wahrgenommen (Kernaussage: "Telerehabilitation – ein ergänzendes Puzzleteil"). Verbesserte Zugänglichkeit und Flexibilität ermöglichten aktive Teilhabe; jedoch erforderte digitales Format fortgeschrittene Kommunikationsfähigkeiten und zuverlässige Technik. Frauen vermissten physische Untersuchung und Hands-on-Anleitung.</w:t>
      </w:r>
    </w:p>
    <w:p>
      <w:r>
        <w:rPr>
          <w:b/>
          <w:sz w:val="19"/>
        </w:rPr>
        <w:t xml:space="preserve">Übertragbarkeit: </w:t>
      </w:r>
      <w:r>
        <w:rPr>
          <w:sz w:val="19"/>
        </w:rPr>
        <w:t>Skandinavien, primärmedizinisches Versorgungssystem; Hybrid-Modelle könnten personenzentrierte Rehabilitation stärken.</w:t>
      </w:r>
    </w:p>
    <w:p>
      <w:r>
        <w:rPr>
          <w:color w:val="5A7D3A"/>
          <w:sz w:val="18"/>
        </w:rPr>
        <w:t>https://pubmed.ncbi.nlm.nih.gov/42823687/</w:t>
      </w:r>
    </w:p>
    <w:p>
      <w:pPr>
        <w:pStyle w:val="Heading2"/>
      </w:pPr>
      <w:r>
        <w:t>Traditionelle Chinesische Medizin Gesundheitskompetenz senkt postpartale Depression: Mediationsmechanismen</w:t>
      </w:r>
    </w:p>
    <w:p>
      <w:r>
        <w:rPr>
          <w:i/>
          <w:color w:val="666666"/>
          <w:sz w:val="18"/>
        </w:rPr>
        <w:t>Liu D et al.  ·  Front Public Health  ·  16.09.2026  ·  PMID 42819904</w:t>
      </w:r>
    </w:p>
    <w:p>
      <w:r>
        <w:t>Querschnittsstudie mit 501 Frauen in China zur Beziehung zwischen Gesundheitskompetenz zu TCM und postpartalen depressiven Symptomen; Analyse der vermittelten Effekte durch soziale Unterstützung und Selbstwirksamkeit.</w:t>
      </w:r>
    </w:p>
    <w:p>
      <w:r>
        <w:rPr>
          <w:b/>
        </w:rPr>
        <w:t xml:space="preserve">Ergebnis: </w:t>
      </w:r>
      <w:r>
        <w:t>TCM-Gesundheitskompetenz hatte direkten negativen Effekt auf depressive Symptome (β=-0,206, 95%-KI: -0,299 bis -0,112). Drei signifikante indirekte Pfade: soziale Unterstützung (β=-0,102), Selbstwirksamkeit (β=-0,102) und sequenzieller Effekt über beide (β=-0,033). Indirekte Effekte machten 53,6 % des Gesamteffekts aus.</w:t>
      </w:r>
    </w:p>
    <w:p>
      <w:r>
        <w:rPr>
          <w:b/>
          <w:sz w:val="19"/>
        </w:rPr>
        <w:t xml:space="preserve">Übertragbarkeit: </w:t>
      </w:r>
      <w:r>
        <w:rPr>
          <w:sz w:val="19"/>
        </w:rPr>
        <w:t>China; Konzept der TCM-Kompetenz kulturspezifisch; Mechanismus (soziale Unterstützung + Selbstwirksamkeit) aber international anwendbar.</w:t>
      </w:r>
    </w:p>
    <w:p>
      <w:r>
        <w:rPr>
          <w:color w:val="5A7D3A"/>
          <w:sz w:val="18"/>
        </w:rPr>
        <w:t>https://pubmed.ncbi.nlm.nih.gov/42819904/</w:t>
      </w:r>
    </w:p>
    <w:p>
      <w:pPr>
        <w:pStyle w:val="Heading2"/>
      </w:pPr>
      <w:r>
        <w:t>Verständliche Patienteninformation zu Regelschmerzen: Spanische Broschüre validiert</w:t>
      </w:r>
    </w:p>
    <w:p>
      <w:r>
        <w:rPr>
          <w:i/>
          <w:color w:val="666666"/>
          <w:sz w:val="18"/>
        </w:rPr>
        <w:t>Cruz-Lara F et al.  ·  Womens Health (Lond)  ·  28.09.2026  ·  PMID 42803363</w:t>
      </w:r>
    </w:p>
    <w:p>
      <w:r>
        <w:t>Übersetzung und kulturelle Adaptation einer brasilianischen Patientenbroschüre zu Dysmenorrhoe für spanische Frauen mit Validierung durch Physiotherapeuten und Patientinnen.</w:t>
      </w:r>
    </w:p>
    <w:p>
      <w:r>
        <w:rPr>
          <w:b/>
        </w:rPr>
        <w:t xml:space="preserve">Ergebnis: </w:t>
      </w:r>
      <w:r>
        <w:t>Inhaltsvalidität (CVI ≥0,90 bei allen Bereichen); Patientinnen erreichten 100 % Zustimmung zur Sprachklarheit (PAA=100%) und 92,3 % zur Präsentation (PAA=92,3%). Material wurde als klar, nützlich und visuell gut organisiert bewertet.</w:t>
      </w:r>
    </w:p>
    <w:p>
      <w:r>
        <w:rPr>
          <w:b/>
          <w:sz w:val="19"/>
        </w:rPr>
        <w:t xml:space="preserve">Übertragbarkeit: </w:t>
      </w:r>
      <w:r>
        <w:rPr>
          <w:sz w:val="19"/>
        </w:rPr>
        <w:t>Spanien, Spanisch-Sprachraum; Sprach- und Kulturanpassung essentiell für Verständlichkeit.</w:t>
      </w:r>
    </w:p>
    <w:p>
      <w:r>
        <w:rPr>
          <w:color w:val="5A7D3A"/>
          <w:sz w:val="18"/>
        </w:rPr>
        <w:t>https://pubmed.ncbi.nlm.nih.gov/42803363/</w:t>
      </w:r>
    </w:p>
    <w:p>
      <w:pPr>
        <w:pStyle w:val="Heading2"/>
      </w:pPr>
      <w:r>
        <w:t>Patientensteuerung in der GKV: Systemdesign statt moralischer Appell</w:t>
      </w:r>
    </w:p>
    <w:p>
      <w:r>
        <w:rPr>
          <w:i/>
          <w:color w:val="666666"/>
          <w:sz w:val="18"/>
        </w:rPr>
        <w:t>Beivers A et al.  ·  Bundesgesundheitsblatt Gesundheitsforschung Gesundheitsschutz  ·  08.09.2026  ·  PMID 42709071</w:t>
      </w:r>
    </w:p>
    <w:p>
      <w:r>
        <w:t>Deutsches Diskussionspapier zur Frage, wie ein Primärarztsystem durch Patientenmanagement und redefinierte Eigenverantwortung die GKV-Effizienz stärken könnte.</w:t>
      </w:r>
    </w:p>
    <w:p>
      <w:r>
        <w:rPr>
          <w:b/>
        </w:rPr>
        <w:t xml:space="preserve">Ergebnis: </w:t>
      </w:r>
      <w:r>
        <w:t>Empfehlung: Bonusprogramme nach Loyalitätsmuster können Patientensteuerung wirksam, akzeptiert und sozial ausgewogen gestalten. Kernaussage: Patientensteuerung ist Systemdesign, nicht Disziplin – moderne Eigenverantwortung stärkt Wirtschaftlichkeit und Solidarität gleichermaßen.</w:t>
      </w:r>
    </w:p>
    <w:p>
      <w:r>
        <w:rPr>
          <w:b/>
          <w:sz w:val="19"/>
        </w:rPr>
        <w:t xml:space="preserve">Übertragbarkeit: </w:t>
      </w:r>
      <w:r>
        <w:rPr>
          <w:sz w:val="19"/>
        </w:rPr>
        <w:t>Deutschland, GKV-System; direkt auf deutsche Krankenversicherungsreform übertragbar.</w:t>
      </w:r>
    </w:p>
    <w:p>
      <w:r>
        <w:rPr>
          <w:color w:val="5A7D3A"/>
          <w:sz w:val="18"/>
        </w:rPr>
        <w:t>https://pubmed.ncbi.nlm.nih.gov/42709071/</w:t>
      </w:r>
    </w:p>
    <w:p>
      <w:pPr>
        <w:pStyle w:val="Heading1"/>
      </w:pPr>
      <w:r>
        <w:t>Aufgenommen am 02.10.2026</w:t>
      </w:r>
    </w:p>
    <w:p>
      <w:pPr>
        <w:pStyle w:val="Heading2"/>
      </w:pPr>
      <w:r>
        <w:t>Gesundheitskompetenz fördert aktives Altern bei älteren Erwachsenen</w:t>
      </w:r>
    </w:p>
    <w:p>
      <w:r>
        <w:rPr>
          <w:i/>
          <w:color w:val="666666"/>
          <w:sz w:val="18"/>
        </w:rPr>
        <w:t>Akdeniz Ş et al.  ·  BMC Geriatr  ·  29.09.2026  ·  PMID 42816844</w:t>
      </w:r>
    </w:p>
    <w:p>
      <w:r>
        <w:t>Querschnittstudie an 306 älteren Erwachsenen (≥65 Jahre), die die Beziehung zwischen Health Literacy, aktivem Altern und erfolgreichem Altern untersuchte.</w:t>
      </w:r>
    </w:p>
    <w:p>
      <w:r>
        <w:rPr>
          <w:b/>
        </w:rPr>
        <w:t xml:space="preserve">Ergebnis: </w:t>
      </w:r>
      <w:r>
        <w:t>Health Literacy erklärte 56,4 % der Varianz aktiven Alterns (R² = 0,564, p &lt; 0,05). Signifikante positive Korrelationen zwischen Health Literacy und beiden Aging-Dimensionen (p &lt; 0,01). Prädiktoren: Alter, mentale Aktivität und Gesundheitskompetenz (p &lt; 0,05).</w:t>
      </w:r>
    </w:p>
    <w:p>
      <w:r>
        <w:rPr>
          <w:b/>
          <w:sz w:val="19"/>
        </w:rPr>
        <w:t xml:space="preserve">Übertragbarkeit: </w:t>
      </w:r>
      <w:r>
        <w:rPr>
          <w:sz w:val="19"/>
        </w:rPr>
        <w:t>Türkei, aber Messmodell übertragbar auf deutsches Gesundheitswesen</w:t>
      </w:r>
    </w:p>
    <w:p>
      <w:r>
        <w:rPr>
          <w:color w:val="5A7D3A"/>
          <w:sz w:val="18"/>
        </w:rPr>
        <w:t>https://pubmed.ncbi.nlm.nih.gov/42816844/</w:t>
      </w:r>
    </w:p>
    <w:p>
      <w:pPr>
        <w:pStyle w:val="Heading2"/>
      </w:pPr>
      <w:r>
        <w:t>Ernährungskompetenz bei Grundschülern niedrig: Handlungsbedarf in der Schulgesundheit</w:t>
      </w:r>
    </w:p>
    <w:p>
      <w:r>
        <w:rPr>
          <w:i/>
          <w:color w:val="666666"/>
          <w:sz w:val="18"/>
        </w:rPr>
        <w:t>Lan Y et al.  ·  Front Public Health  ·  15.09.2026  ·  PMID 42812397</w:t>
      </w:r>
    </w:p>
    <w:p>
      <w:r>
        <w:t>Querschnittstudie an 1.420 Viertklässlern und Fünftklässlern in Chongqing zu Ernährungskompetenz (Nutrition Literacy) und assoziierten Faktoren.</w:t>
      </w:r>
    </w:p>
    <w:p>
      <w:r>
        <w:rPr>
          <w:b/>
        </w:rPr>
        <w:t xml:space="preserve">Ergebnis: </w:t>
      </w:r>
      <w:r>
        <w:t>Durchschnittliche Ernährungskompetenz-Score: 65,47 ± 9,79 (insgesamt niedrig). Signifikant höhere Scores bei: höherem Alter, weiblichem Geschlecht, städtischem Wohnort, höherer Bildung der Bezugsperson (alle p &lt; 0,05). Mahlzeitendokumentation (+4,18 Punkte; 95%-KI: 2,84–5,51) und Essenzubereitung (+2,07 Punkte) positiv assoziiert.</w:t>
      </w:r>
    </w:p>
    <w:p>
      <w:r>
        <w:rPr>
          <w:b/>
          <w:sz w:val="19"/>
        </w:rPr>
        <w:t xml:space="preserve">Übertragbarkeit: </w:t>
      </w:r>
      <w:r>
        <w:rPr>
          <w:sz w:val="19"/>
        </w:rPr>
        <w:t>China, aber Befund zu sozioökonomischen Unterschieden in Gesundheitskompetenz übertragbar</w:t>
      </w:r>
    </w:p>
    <w:p>
      <w:r>
        <w:rPr>
          <w:color w:val="5A7D3A"/>
          <w:sz w:val="18"/>
        </w:rPr>
        <w:t>https://pubmed.ncbi.nlm.nih.gov/42812397/</w:t>
      </w:r>
    </w:p>
    <w:p>
      <w:pPr>
        <w:pStyle w:val="Heading2"/>
      </w:pPr>
      <w:r>
        <w:t>Polnische Validierung eines mehrdimensionalen Health-Literacy-Fragebogens</w:t>
      </w:r>
    </w:p>
    <w:p>
      <w:r>
        <w:rPr>
          <w:i/>
          <w:color w:val="666666"/>
          <w:sz w:val="18"/>
        </w:rPr>
        <w:t>Lipiak A et al.  ·  Medicina (Kaunas)  ·  18.09.2026  ·  PMID 42796406</w:t>
      </w:r>
    </w:p>
    <w:p>
      <w:r>
        <w:t>Psychometrische Validierung der neun-faktoriellen Health Literacy Questionnaire (HLQ) an 918 Gesundheitsfachstudierenden in Polen mit konfirmatorischer Faktorenanalyse.</w:t>
      </w:r>
    </w:p>
    <w:p>
      <w:r>
        <w:rPr>
          <w:b/>
        </w:rPr>
        <w:t xml:space="preserve">Ergebnis: </w:t>
      </w:r>
      <w:r>
        <w:t>Neun-Faktor-Modell zeigte gute Anpassungsgüte (CFI = 0,973; TLI = 0,970; RMSEA = 0,035). Interne Konsistenz: 8 von 9 Skalen gut bis akzeptabel (Cronbach's α ≥ 0,70); eine Skala unter Schwelle (Cronbach's α = 0,69).</w:t>
      </w:r>
    </w:p>
    <w:p>
      <w:r>
        <w:rPr>
          <w:b/>
          <w:sz w:val="19"/>
        </w:rPr>
        <w:t xml:space="preserve">Übertragbarkeit: </w:t>
      </w:r>
      <w:r>
        <w:rPr>
          <w:sz w:val="19"/>
        </w:rPr>
        <w:t>Polen/Osteuropa, HLQ wird mehrsprachig validiert, Instrument selbst systemunabhängig</w:t>
      </w:r>
    </w:p>
    <w:p>
      <w:r>
        <w:rPr>
          <w:color w:val="5A7D3A"/>
          <w:sz w:val="18"/>
        </w:rPr>
        <w:t>https://pubmed.ncbi.nlm.nih.gov/42796406/</w:t>
      </w:r>
    </w:p>
    <w:p>
      <w:pPr>
        <w:pStyle w:val="Heading2"/>
      </w:pPr>
      <w:r>
        <w:t>Ernährungskompetenz in der Onkologie bessert Verhalten und Lebensqualität</w:t>
      </w:r>
    </w:p>
    <w:p>
      <w:r>
        <w:rPr>
          <w:i/>
          <w:color w:val="666666"/>
          <w:sz w:val="18"/>
        </w:rPr>
        <w:t>Monaci M et al.  ·  Nutr Cancer  ·  24.09.2026  ·  PMID 42784715</w:t>
      </w:r>
    </w:p>
    <w:p>
      <w:r>
        <w:t>Systematischer Review: 19 Studien (2013–2025) zu Ernährungs- und Lebensmittelkompetenz bei krebskranken Erwachsenen und Assoziation mit klinischen und Verhaltensergebnissen.</w:t>
      </w:r>
    </w:p>
    <w:p>
      <w:r>
        <w:rPr>
          <w:b/>
        </w:rPr>
        <w:t xml:space="preserve">Ergebnis: </w:t>
      </w:r>
      <w:r>
        <w:t>Höhere Ernährungskompetenz konsistent assoziiert mit: besseren Ernährungsverhalten, verbesserter Diätqualität, besserer Ernährungsstatus und höherer Lebensqualität sowie gestärktem Selbstmanagement. Interventionsstudien: Alphabetisierungs-fokussierte Ernährungsedukation reduzierte therapiebezogene Symptome und psychosoziale Belastung; begrenzte Evidenz für reduzierte Inanspruchnahme.</w:t>
      </w:r>
    </w:p>
    <w:p>
      <w:r>
        <w:rPr>
          <w:b/>
          <w:sz w:val="19"/>
        </w:rPr>
        <w:t xml:space="preserve">Übertragbarkeit: </w:t>
      </w:r>
      <w:r>
        <w:rPr>
          <w:sz w:val="19"/>
        </w:rPr>
        <w:t>Mehrheitlich europäische und nordamerikanische Studien, Konzept direkt auf deutsche Krebszentren übertragbar</w:t>
      </w:r>
    </w:p>
    <w:p>
      <w:r>
        <w:rPr>
          <w:color w:val="5A7D3A"/>
          <w:sz w:val="18"/>
        </w:rPr>
        <w:t>https://pubmed.ncbi.nlm.nih.gov/42784715/</w:t>
      </w:r>
    </w:p>
    <w:p>
      <w:pPr>
        <w:pStyle w:val="Heading2"/>
      </w:pPr>
      <w:r>
        <w:t>Patienten als Forschungspartner: Kokreation in der Entzündungsmyopathie-Forschung</w:t>
      </w:r>
    </w:p>
    <w:p>
      <w:r>
        <w:rPr>
          <w:i/>
          <w:color w:val="666666"/>
          <w:sz w:val="18"/>
        </w:rPr>
        <w:t>Cheng K et al.  ·  Curr Opin Rheumatol  ·  01.11.2026  ·  PMID 42682164</w:t>
      </w:r>
    </w:p>
    <w:p>
      <w:r>
        <w:t>Narrative Review zum Stand der Patient Research Partner (PRP) Integration in Myositis-Forschung und kritische Analyse bestehender Beteiligungsmodelle.</w:t>
      </w:r>
    </w:p>
    <w:p>
      <w:r>
        <w:rPr>
          <w:b/>
        </w:rPr>
        <w:t xml:space="preserve">Ergebnis: </w:t>
      </w:r>
      <w:r>
        <w:t>Kernbefund: Frühe Integration von Patienten als Co-Leader verbessert Relevanz, Machbarkeit und Impact von Forschung; aktuelle Integration bleibt weltweit inkonsistent. Bestehende Ressourcen vorhanden, aber wirkliche PRP-Integration erfordert kulturellen Wandel und dedizierte Ressourcen.</w:t>
      </w:r>
    </w:p>
    <w:p>
      <w:r>
        <w:rPr>
          <w:b/>
          <w:sz w:val="19"/>
        </w:rPr>
        <w:t xml:space="preserve">Übertragbarkeit: </w:t>
      </w:r>
      <w:r>
        <w:rPr>
          <w:sz w:val="19"/>
        </w:rPr>
        <w:t>Europäische Patient-Advocacy-Strukturen, EULAR-Rahmen direkt anwendbar</w:t>
      </w:r>
    </w:p>
    <w:p>
      <w:r>
        <w:rPr>
          <w:color w:val="5A7D3A"/>
          <w:sz w:val="18"/>
        </w:rPr>
        <w:t>https://pubmed.ncbi.nlm.nih.gov/42682164/</w:t>
      </w:r>
    </w:p>
    <w:p>
      <w:pPr>
        <w:pStyle w:val="Heading2"/>
      </w:pPr>
      <w:r>
        <w:t>eHealth-Kompetenz in Amharisch validiert: Erster Test in subsaharischem Afrika</w:t>
      </w:r>
    </w:p>
    <w:p>
      <w:r>
        <w:rPr>
          <w:i/>
          <w:color w:val="666666"/>
          <w:sz w:val="18"/>
        </w:rPr>
        <w:t>Meng G et al.  ·  J Med Internet Res  ·  16.07.2026  ·  PMID 42462181</w:t>
      </w:r>
    </w:p>
    <w:p>
      <w:r>
        <w:t>Psychometrische Validierung der sieben-faktoriellen eHealth Literacy Questionnaire (eHLQ) ins Amharische an 300 Patienten in Äthiopien mit Internetmobilität.</w:t>
      </w:r>
    </w:p>
    <w:p>
      <w:r>
        <w:rPr>
          <w:b/>
        </w:rPr>
        <w:t xml:space="preserve">Ergebnis: </w:t>
      </w:r>
      <w:r>
        <w:t>Akzeptable bis gute interne Konsistenz (Cronbach's α = 0,72–0,91, außer Skala 4: α = 0,62). Sieben-Faktor-Modell gutes Fit (CFI = 0,97; TLI = 0,97; SRMR = 0,07). Konvergente Validität: starke Korrelationen Skalen 1–3 mit eHEALS (r = 0,69–0,74).</w:t>
      </w:r>
    </w:p>
    <w:p>
      <w:r>
        <w:rPr>
          <w:b/>
          <w:sz w:val="19"/>
        </w:rPr>
        <w:t xml:space="preserve">Übertragbarkeit: </w:t>
      </w:r>
      <w:r>
        <w:rPr>
          <w:sz w:val="19"/>
        </w:rPr>
        <w:t>Äthiopien, Low-Income-Setting, eHLQ-Instrument kulturübergreifend, aber Internetprävalenz-Voraussetzung relevant</w:t>
      </w:r>
    </w:p>
    <w:p>
      <w:r>
        <w:rPr>
          <w:color w:val="5A7D3A"/>
          <w:sz w:val="18"/>
        </w:rPr>
        <w:t>https://pubmed.ncbi.nlm.nih.gov/42462181/</w:t>
      </w:r>
    </w:p>
    <w:p>
      <w:pPr>
        <w:pStyle w:val="Heading1"/>
      </w:pPr>
      <w:r>
        <w:t>Aufgenommen am 01.10.2026</w:t>
      </w:r>
    </w:p>
    <w:p>
      <w:pPr>
        <w:pStyle w:val="Heading2"/>
      </w:pPr>
      <w:r>
        <w:t>Digitale Glukose-Überwachung: Höheres Engagement senkt HbA1c stärker ab</w:t>
      </w:r>
    </w:p>
    <w:p>
      <w:r>
        <w:rPr>
          <w:i/>
          <w:color w:val="666666"/>
          <w:sz w:val="18"/>
        </w:rPr>
        <w:t>Huang Y et al.  ·  JMIR Form Res  ·  30.09.2026  ·  PMID 42814765</w:t>
      </w:r>
    </w:p>
    <w:p>
      <w:r>
        <w:t>Retrospektive Kohortenstudie mit 1.436 Patienten mit Typ-2-Diabetes in einem integrierten Telemedizin-Programm zur Dosis-Wirkungs-Beziehung zwischen Monitoring-Häufigkeit und Blutzuckerkontrolle.</w:t>
      </w:r>
    </w:p>
    <w:p>
      <w:r>
        <w:rPr>
          <w:b/>
        </w:rPr>
        <w:t xml:space="preserve">Ergebnis: </w:t>
      </w:r>
      <w:r>
        <w:t>Dosisabhängiger Effekt: Für jede zusätzliche wöchentliche Messung sank HbA1c um 0,05 Prozentpunkte (95% KI 0,03–0,07, p&lt;0,001). Bei hohem Engagement (12,59 Messungen/Woche) reduzierte sich HbA1c um 1,01 Punkte vs. 0,38 bei niedrigem Engagement (2,55 Messungen/Woche).</w:t>
      </w:r>
    </w:p>
    <w:p>
      <w:r>
        <w:rPr>
          <w:b/>
          <w:sz w:val="19"/>
        </w:rPr>
        <w:t xml:space="preserve">Übertragbarkeit: </w:t>
      </w:r>
      <w:r>
        <w:rPr>
          <w:sz w:val="19"/>
        </w:rPr>
        <w:t>USA-Studie, Engagement-Effekt unabhängig von Gesundheitssystem übertragbar</w:t>
      </w:r>
    </w:p>
    <w:p>
      <w:r>
        <w:rPr>
          <w:color w:val="5A7D3A"/>
          <w:sz w:val="18"/>
        </w:rPr>
        <w:t>https://pubmed.ncbi.nlm.nih.gov/42814765/</w:t>
      </w:r>
    </w:p>
    <w:p>
      <w:pPr>
        <w:pStyle w:val="Heading2"/>
      </w:pPr>
      <w:r>
        <w:t>Strukturierte Fragen erhöhen Patientenerinnerung im Operationsgespräch deutlich</w:t>
      </w:r>
    </w:p>
    <w:p>
      <w:r>
        <w:rPr>
          <w:i/>
          <w:color w:val="666666"/>
          <w:sz w:val="18"/>
        </w:rPr>
        <w:t>Herath M et al.  ·  BJS Open  ·  04.09.2026  ·  PMID 42814592</w:t>
      </w:r>
    </w:p>
    <w:p>
      <w:r>
        <w:t>Randomisierte kontrollierte Studie mit 143 Patienten zur Wirkung eines Arbeitsblatts mit vorbereiteten Fragen auf das Verständnis und die Erinnerung an Informationen in der chirurgischen Sprechstunde.</w:t>
      </w:r>
    </w:p>
    <w:p>
      <w:r>
        <w:rPr>
          <w:b/>
        </w:rPr>
        <w:t xml:space="preserve">Ergebnis: </w:t>
      </w:r>
      <w:r>
        <w:t>Patienten mit POWER-Formular erreichten 88% Erinnerungsquote (95% KI 83–92) vs. 31% (26–35) in der Kontrolle (p&lt;0,001). Diese einfache Maßnahme zur strukturierten Patientenbeteiligung verdreifachte nachweislich die Informationsverarbeitung.</w:t>
      </w:r>
    </w:p>
    <w:p>
      <w:r>
        <w:rPr>
          <w:b/>
          <w:sz w:val="19"/>
        </w:rPr>
        <w:t xml:space="preserve">Übertragbarkeit: </w:t>
      </w:r>
      <w:r>
        <w:rPr>
          <w:sz w:val="19"/>
        </w:rPr>
        <w:t>Australien, übertragbar auf deutsches Krankenhaus- und Praxissystem ohne Sprachbarrieren</w:t>
      </w:r>
    </w:p>
    <w:p>
      <w:r>
        <w:rPr>
          <w:color w:val="5A7D3A"/>
          <w:sz w:val="18"/>
        </w:rPr>
        <w:t>https://pubmed.ncbi.nlm.nih.gov/42814592/</w:t>
      </w:r>
    </w:p>
    <w:p>
      <w:pPr>
        <w:pStyle w:val="Heading2"/>
      </w:pPr>
      <w:r>
        <w:t>Fast die Hälfte der Krebspfleger haben zu niedrige Gesundheitskompetenz</w:t>
      </w:r>
    </w:p>
    <w:p>
      <w:r>
        <w:rPr>
          <w:i/>
          <w:color w:val="666666"/>
          <w:sz w:val="18"/>
        </w:rPr>
        <w:t>Meng F et al.  ·  Front Public Health  ·  15.09.2026  ·  PMID 42812369</w:t>
      </w:r>
    </w:p>
    <w:p>
      <w:r>
        <w:t>Querschnittstudie mit 287 Angehörigen von Krebspatienten zur Gesundheitskompetenz von Familien-Pflegepersonen und ihren Einflussfaktoren mittels latenter Profilanalyse.</w:t>
      </w:r>
    </w:p>
    <w:p>
      <w:r>
        <w:rPr>
          <w:b/>
        </w:rPr>
        <w:t xml:space="preserve">Ergebnis: </w:t>
      </w:r>
      <w:r>
        <w:t>49,8% der Pfleger zeigten niedrige, 25,4% mittlere und 24,7% hohe Gesundheitskompetenz. Schwächste Dimension: "Verarbeitung von Gesundheitsinformation" (Median 12 von max. Punktzahl). Prädiktoren: höheres Alter (OR 9,4), höhere Bildung (OR 0,50) und Berufstätigkeit (OR 0,12) waren signifikant assoziiert.</w:t>
      </w:r>
    </w:p>
    <w:p>
      <w:r>
        <w:rPr>
          <w:b/>
          <w:sz w:val="19"/>
        </w:rPr>
        <w:t xml:space="preserve">Übertragbarkeit: </w:t>
      </w:r>
      <w:r>
        <w:rPr>
          <w:sz w:val="19"/>
        </w:rPr>
        <w:t>China-Studie, Befunde zu Pflegerkompetenz-Defiziten international relevant</w:t>
      </w:r>
    </w:p>
    <w:p>
      <w:r>
        <w:rPr>
          <w:color w:val="5A7D3A"/>
          <w:sz w:val="18"/>
        </w:rPr>
        <w:t>https://pubmed.ncbi.nlm.nih.gov/42812369/</w:t>
      </w:r>
    </w:p>
    <w:p>
      <w:pPr>
        <w:pStyle w:val="Heading2"/>
      </w:pPr>
      <w:r>
        <w:t>Junge Erwachsene verstehen Zusammenhang zwischen STI und Fertilität nicht</w:t>
      </w:r>
    </w:p>
    <w:p>
      <w:r>
        <w:rPr>
          <w:i/>
          <w:color w:val="666666"/>
          <w:sz w:val="18"/>
        </w:rPr>
        <w:t>Romane N et al.  ·  SAHARA J  ·  28.09.2026  ·  PMID 42802983</w:t>
      </w:r>
    </w:p>
    <w:p>
      <w:r>
        <w:t>Qualitative Studie mit 17 Interviews junger Erwachsener (18–24 Jahre) zur Gesundheitskompetenz bei sexuellen Infektionen und deren Folgen für Fortpflanzung in Südafrika.</w:t>
      </w:r>
    </w:p>
    <w:p>
      <w:r>
        <w:rPr>
          <w:b/>
        </w:rPr>
        <w:t xml:space="preserve">Ergebnis: </w:t>
      </w:r>
      <w:r>
        <w:t>Zentrale Befunde: Große Wissenslücken zur Verbindung zwischen STI und Unfruchtbarkeit; fehlende Krankheitsbewusstsein; eingeschränkte Nutzung von Gesundheitsdiensten wegen mangelndem Verständnis von Risiken. Empfehlung: Maßgeschneiderte Gesundheitserziehung mit lokalem Bezug zu sexuellem und reproduktivem Verhalten.</w:t>
      </w:r>
    </w:p>
    <w:p>
      <w:r>
        <w:rPr>
          <w:b/>
          <w:sz w:val="19"/>
        </w:rPr>
        <w:t xml:space="preserve">Übertragbarkeit: </w:t>
      </w:r>
      <w:r>
        <w:rPr>
          <w:sz w:val="19"/>
        </w:rPr>
        <w:t>Südafrika, Evidenz für Ungleichheit in der Gesundheitskompetenz bei jungen Menschen</w:t>
      </w:r>
    </w:p>
    <w:p>
      <w:r>
        <w:rPr>
          <w:color w:val="5A7D3A"/>
          <w:sz w:val="18"/>
        </w:rPr>
        <w:t>https://pubmed.ncbi.nlm.nih.gov/42802983/</w:t>
      </w:r>
    </w:p>
    <w:p>
      <w:pPr>
        <w:pStyle w:val="Heading2"/>
      </w:pPr>
      <w:r>
        <w:t>Glaukom-Patienten in Deutschland fühlen sich unzureichend aufgeklärt</w:t>
      </w:r>
    </w:p>
    <w:p>
      <w:r>
        <w:rPr>
          <w:i/>
          <w:color w:val="666666"/>
          <w:sz w:val="18"/>
        </w:rPr>
        <w:t>Joachim SC et al.  ·  Ophthalmologie  ·  15.07.2026  ·  PMID 42455350</w:t>
      </w:r>
    </w:p>
    <w:p>
      <w:r>
        <w:t>Querschnittsumfrage mit 334 Glaukom-Patienten zur Aufklärungsqualität über Erkrankung, Therapieoptionen und Nebenwirkungen durch Augenfachleute.</w:t>
      </w:r>
    </w:p>
    <w:p>
      <w:r>
        <w:rPr>
          <w:b/>
        </w:rPr>
        <w:t xml:space="preserve">Ergebnis: </w:t>
      </w:r>
      <w:r>
        <w:t>Nur 15,5% der Patienten fühlten sich sehr gut aufgeklärt, 40,1% unzureichend. Informationslücken zu Tropfen, Nebenwirkungen und Behandlungsoptionen waren verbreitet; 89,5% wussten aber wie man Tropfen anwendet, nur ca. 50% konnten Therapieänderungen mit dem Arzt besprechen.</w:t>
      </w:r>
    </w:p>
    <w:p>
      <w:r>
        <w:rPr>
          <w:b/>
          <w:sz w:val="19"/>
        </w:rPr>
        <w:t xml:space="preserve">Übertragbarkeit: </w:t>
      </w:r>
      <w:r>
        <w:rPr>
          <w:sz w:val="19"/>
        </w:rPr>
        <w:t>Deutsche Klinikdaten mit direkter Relevanz für Patientenedukation vor Ort</w:t>
      </w:r>
    </w:p>
    <w:p>
      <w:r>
        <w:rPr>
          <w:color w:val="5A7D3A"/>
          <w:sz w:val="18"/>
        </w:rPr>
        <w:t>https://pubmed.ncbi.nlm.nih.gov/42455350/</w:t>
      </w:r>
    </w:p>
    <w:p>
      <w:pPr>
        <w:pStyle w:val="Heading1"/>
      </w:pPr>
      <w:r>
        <w:t>Aufgenommen am 30.09.2026</w:t>
      </w:r>
    </w:p>
    <w:p>
      <w:pPr>
        <w:pStyle w:val="Heading2"/>
      </w:pPr>
      <w:r>
        <w:t>Digitale Unterstützung für Herzinsuffizienz-Selbstmanagement: Evidenzsynthese</w:t>
      </w:r>
    </w:p>
    <w:p>
      <w:r>
        <w:rPr>
          <w:i/>
          <w:color w:val="666666"/>
          <w:sz w:val="18"/>
        </w:rPr>
        <w:t>Dong H et al.  ·  Front Public Health  ·  14.09.2026  ·  PMID 42807594</w:t>
      </w:r>
    </w:p>
    <w:p>
      <w:r>
        <w:t>Narrative Best-Evidence-Synthese von 27 Review-Quellen zur Wirksamkeit digital gestützter Edukation und Selbstmanagement bei Herzinsuffizienz-Patienten.</w:t>
      </w:r>
    </w:p>
    <w:p>
      <w:r>
        <w:rPr>
          <w:b/>
        </w:rPr>
        <w:t xml:space="preserve">Ergebnis: </w:t>
      </w:r>
      <w:r>
        <w:t>Digitale Edukation und Selbstmanagement können routinemäßige Herzinsuffizienz-Versorgung ergänzen, besonders wenn mit strukturiertem klinischem Feedback, klarer Verantwortungszuordnung und Eskalationspfaden verbunden. 27 praxisorientierte Statements in drei Ebenen entwickelt (essenzielle Kernkomponenten, bedingte Implementierungskomponenten, aufkommende Aussagen). Evidenz variiert erheblich in Qualität, Direktheit und Interventionstyp; methodische Limitationen und Heterogenität erfordern bedingte Interpretation.</w:t>
      </w:r>
    </w:p>
    <w:p>
      <w:r>
        <w:rPr>
          <w:b/>
          <w:sz w:val="19"/>
        </w:rPr>
        <w:t xml:space="preserve">Übertragbarkeit: </w:t>
      </w:r>
      <w:r>
        <w:rPr>
          <w:sz w:val="19"/>
        </w:rPr>
        <w:t>Synthese mit internationaler Evidenz, Konzepte auf deutsches Versorgungssystem übertragbar.</w:t>
      </w:r>
    </w:p>
    <w:p>
      <w:r>
        <w:rPr>
          <w:color w:val="5A7D3A"/>
          <w:sz w:val="18"/>
        </w:rPr>
        <w:t>https://pubmed.ncbi.nlm.nih.gov/42807594/</w:t>
      </w:r>
    </w:p>
    <w:p>
      <w:pPr>
        <w:pStyle w:val="Heading2"/>
      </w:pPr>
      <w:r>
        <w:t>Ernährungskompetenz und Gesundheitsverhalten bei Magengeschwüren</w:t>
      </w:r>
    </w:p>
    <w:p>
      <w:r>
        <w:rPr>
          <w:i/>
          <w:color w:val="666666"/>
          <w:sz w:val="18"/>
        </w:rPr>
        <w:t>Wu Z et al.  ·  Front Public Health  ·  14.09.2026  ·  PMID 42807539</w:t>
      </w:r>
    </w:p>
    <w:p>
      <w:r>
        <w:t>Querschnittstudie mit 418 Patienten mit Magengeschwüren zu Assoziationen zwischen Food and Nutrition Literacy, Ernährungsbewusstsein und proaktivem Gesundheitsverhalten; latente Klassenanalyse identifizierte vier Literatur-Subgruppen.</w:t>
      </w:r>
    </w:p>
    <w:p>
      <w:r>
        <w:rPr>
          <w:b/>
        </w:rPr>
        <w:t xml:space="preserve">Ergebnis: </w:t>
      </w:r>
      <w:r>
        <w:t>Food and Nutrition Literacy, Ernährungsbewusstsein und proaktives Gesundheitsverhalten waren signifikant und positiv korreliert (r &gt; 0,30, p &lt; 0,001). Bootstrap-Analyse zeigte, dass Ernährungsbewusstsein eine signifikante teilmediierende Rolle spielte (indirekter Effekt nachweisbar). Latente Klassenanalyse identifizierte vier Gruppen (niedrig bis hoch nach Ernährungskompetenz) mit signifikanten Unterschieden im Gesundheitsverhalten (ANOVA, p &lt; 0,05).</w:t>
      </w:r>
    </w:p>
    <w:p>
      <w:r>
        <w:rPr>
          <w:b/>
          <w:sz w:val="19"/>
        </w:rPr>
        <w:t xml:space="preserve">Übertragbarkeit: </w:t>
      </w:r>
      <w:r>
        <w:rPr>
          <w:sz w:val="19"/>
        </w:rPr>
        <w:t>China, aber Konzept der schichtbasierten Interventionen übertragbar.</w:t>
      </w:r>
    </w:p>
    <w:p>
      <w:r>
        <w:rPr>
          <w:color w:val="5A7D3A"/>
          <w:sz w:val="18"/>
        </w:rPr>
        <w:t>https://pubmed.ncbi.nlm.nih.gov/42807539/</w:t>
      </w:r>
    </w:p>
    <w:p>
      <w:pPr>
        <w:pStyle w:val="Heading2"/>
      </w:pPr>
      <w:r>
        <w:t>Navigational Health Literacy und soziale Ungleichheit bei Inanspruchnahme von Versorgung</w:t>
      </w:r>
    </w:p>
    <w:p>
      <w:r>
        <w:rPr>
          <w:i/>
          <w:color w:val="666666"/>
          <w:sz w:val="18"/>
        </w:rPr>
        <w:t>Ulrich TW et al.  ·  Int J Public Health  ·  14.09.2026  ·  PMID 42807278</w:t>
      </w:r>
    </w:p>
    <w:p>
      <w:r>
        <w:t>Bevölkerungsumfrage unter 2.201 erwachsenen Deutschen zur Assoziation von Navigational Health Literacy mit unerfüllten Versorgungsbedarfen und sozialen Disparitäten.</w:t>
      </w:r>
    </w:p>
    <w:p>
      <w:r>
        <w:rPr>
          <w:b/>
        </w:rPr>
        <w:t xml:space="preserve">Ergebnis: </w:t>
      </w:r>
      <w:r>
        <w:t>70 % der Teilnehmenden zeigten unzureichende navigational health literacy. Bessere Navigational Health Literacy war mit niedrigerer Prävalenz unerfüllter Bedarfe assoziiert (Poisson-Regression), aber diese Assoziation reduzierte die Disparitäten zwischen Einkommens- und Versichertengruppen nicht wesentlich. Unerfüllte Bedarfe blieben nach Hinzunahme der Navigational-Health-Literacy-Variable in der Analyse bei sozial benachteiligten Gruppen überrepräsentiert.</w:t>
      </w:r>
    </w:p>
    <w:p>
      <w:r>
        <w:rPr>
          <w:b/>
          <w:sz w:val="19"/>
        </w:rPr>
        <w:t xml:space="preserve">Übertragbarkeit: </w:t>
      </w:r>
      <w:r>
        <w:rPr>
          <w:sz w:val="19"/>
        </w:rPr>
        <w:t>Deutsche Stichprobe mit gesetzlicher Krankenversicherung, direkt anwendbar.</w:t>
      </w:r>
    </w:p>
    <w:p>
      <w:r>
        <w:rPr>
          <w:color w:val="5A7D3A"/>
          <w:sz w:val="18"/>
        </w:rPr>
        <w:t>https://pubmed.ncbi.nlm.nih.gov/42807278/</w:t>
      </w:r>
    </w:p>
    <w:p>
      <w:pPr>
        <w:pStyle w:val="Heading2"/>
      </w:pPr>
      <w:r>
        <w:t>Schnelles Messinstrument für Gesundheitskompetenz von Schülern</w:t>
      </w:r>
    </w:p>
    <w:p>
      <w:r>
        <w:rPr>
          <w:i/>
          <w:color w:val="666666"/>
          <w:sz w:val="18"/>
        </w:rPr>
        <w:t>Guo J et al.  ·  Health Promot Int  ·  01.09.2026  ·  PMID 42802103</w:t>
      </w:r>
    </w:p>
    <w:p>
      <w:r>
        <w:t>Entwicklung und psychometrische Validierung eines altersgerechten, theoriegestützten Fragebogens (CRHLQ-PS) zur Erfassung von Health Literacy bei 7.113 Schülern in vier chinesischen Regionen.</w:t>
      </w:r>
    </w:p>
    <w:p>
      <w:r>
        <w:rPr>
          <w:b/>
        </w:rPr>
        <w:t xml:space="preserve">Ergebnis: </w:t>
      </w:r>
      <w:r>
        <w:t>Vier altersgerechte Fassungen (Klassen 1–2: 39 Items; 3–4: 40 Items; 5–6: 52 Items; Klassenstufe 7–9: 58 Items) mit sieben Domänen (Hygiene, Ernährung, Bewegung, Sicherheit, Prävention, psychosoziale Anpassung, digitale Gesundheit). Rasch-Analyse zeigte gute Modell-Daten-Anpassung, hohe Item-Reliabilität. Instrument zeigt stark unidimensionale Struktur mit angemessener Zielgenauigkeit, wirkt auf aktuelle Stichprobe aber relativ leicht.</w:t>
      </w:r>
    </w:p>
    <w:p>
      <w:r>
        <w:rPr>
          <w:b/>
          <w:sz w:val="19"/>
        </w:rPr>
        <w:t xml:space="preserve">Übertragbarkeit: </w:t>
      </w:r>
      <w:r>
        <w:rPr>
          <w:sz w:val="19"/>
        </w:rPr>
        <w:t>Neue Länder benötigen Validierung; Konzept des altersgerechten Aufbaus übertragbar.</w:t>
      </w:r>
    </w:p>
    <w:p>
      <w:r>
        <w:rPr>
          <w:color w:val="5A7D3A"/>
          <w:sz w:val="18"/>
        </w:rPr>
        <w:t>https://pubmed.ncbi.nlm.nih.gov/42802103/</w:t>
      </w:r>
    </w:p>
    <w:p>
      <w:pPr>
        <w:pStyle w:val="Heading2"/>
      </w:pPr>
      <w:r>
        <w:t>Patientenautonomie durch Steuerungsmechanismen – kein Widerspruch</w:t>
      </w:r>
    </w:p>
    <w:p>
      <w:r>
        <w:rPr>
          <w:i/>
          <w:color w:val="666666"/>
          <w:sz w:val="18"/>
        </w:rPr>
        <w:t>Weis A et al.  ·  Bundesgesundheitsblatt Gesundheitsforschung Gesundheitsschutz  ·  21.09.2026  ·  PMID 42766153</w:t>
      </w:r>
    </w:p>
    <w:p>
      <w:r>
        <w:t>Ethische Analyse, ob Patient Management in Konflikt mit Patientenautonomie steht, mit Überprüfung anhand empirischer Befunde und Formulierung von Bewertungskriterien.</w:t>
      </w:r>
    </w:p>
    <w:p>
      <w:r>
        <w:rPr>
          <w:b/>
        </w:rPr>
        <w:t xml:space="preserve">Ergebnis: </w:t>
      </w:r>
      <w:r>
        <w:t>Kernbefund: Steuerungsmechanismen widersprechen nicht zwangsläufig dem Autonomieprinzip. Empirische Evidenz zeigt, dass formale Wahlfreiheit allein nicht garantiert, dass Patienten informiert und selbstbestimmt entscheiden; strukturierende Instrumente werden häufig als hilfreich wahrgenommen. Drei ethische Bewertungskriterien formuliert: (1) Ermöglichung wertbasierter Entscheidungen, (2) Beitrag zur Versorgungsqualität ohne Verschlechterung, (3) Beitrag zu Gerechtigkeit und fairer Ressourcenverteilung.</w:t>
      </w:r>
    </w:p>
    <w:p>
      <w:r>
        <w:rPr>
          <w:b/>
          <w:sz w:val="19"/>
        </w:rPr>
        <w:t xml:space="preserve">Übertragbarkeit: </w:t>
      </w:r>
      <w:r>
        <w:rPr>
          <w:sz w:val="19"/>
        </w:rPr>
        <w:t>Deutsche Kliniken und Gesundheitspolitik; Analyse deutschsprachiger Debatte.</w:t>
      </w:r>
    </w:p>
    <w:p>
      <w:r>
        <w:rPr>
          <w:color w:val="5A7D3A"/>
          <w:sz w:val="18"/>
        </w:rPr>
        <w:t>https://pubmed.ncbi.nlm.nih.gov/42766153/</w:t>
      </w:r>
    </w:p>
    <w:p>
      <w:pPr>
        <w:pStyle w:val="Heading2"/>
      </w:pPr>
      <w:r>
        <w:t>Zuzahlungen und Patientensteuerung: Evidenz aus Europäischem Vergleich</w:t>
      </w:r>
    </w:p>
    <w:p>
      <w:r>
        <w:rPr>
          <w:i/>
          <w:color w:val="666666"/>
          <w:sz w:val="18"/>
        </w:rPr>
        <w:t>Böhme S et al.  ·  Bundesgesundheitsblatt Gesundheitsforschung Gesundheitsschutz  ·  21.09.2026  ·  PMID 42766152</w:t>
      </w:r>
    </w:p>
    <w:p>
      <w:r>
        <w:t>Analyse der institutionellen Ausgestaltung und empirischen Evidenz finanzieller Steuerungsinstrumente in vier europäischen Gesundheitssystemen (Deutschland, Niederlande, Frankreich, Dänemark).</w:t>
      </w:r>
    </w:p>
    <w:p>
      <w:r>
        <w:rPr>
          <w:b/>
        </w:rPr>
        <w:t xml:space="preserve">Ergebnis: </w:t>
      </w:r>
      <w:r>
        <w:t>Uniforme Zuzahlungen wirken regressiv und belasten niedrigeinkommen Versicherte überproportional. Wiedereinführung der früheren Praxisgebühr wird nicht empfohlen. Sinnvoller ist gezielte Ausgestaltung an Punkten empirisch identifizierter Fehlinanspruchnahme (z. B. unangemessenes Verlassen koordinierter Versorgungspfade) mit verhaltensökonomischen Effekten und einkommensbezogenen Unterschieden. So gestaltet, können Zuzahlungen Patientensteuerung verbessern ohne Regelversorgungszugang zu gefährden.</w:t>
      </w:r>
    </w:p>
    <w:p>
      <w:r>
        <w:rPr>
          <w:b/>
          <w:sz w:val="19"/>
        </w:rPr>
        <w:t xml:space="preserve">Übertragbarkeit: </w:t>
      </w:r>
      <w:r>
        <w:rPr>
          <w:sz w:val="19"/>
        </w:rPr>
        <w:t>Direkter Vergleich deutscher und europäischer Systeme mit evidenter Relevanz.</w:t>
      </w:r>
    </w:p>
    <w:p>
      <w:r>
        <w:rPr>
          <w:color w:val="5A7D3A"/>
          <w:sz w:val="18"/>
        </w:rPr>
        <w:t>https://pubmed.ncbi.nlm.nih.gov/42766152/</w:t>
      </w:r>
    </w:p>
    <w:p>
      <w:pPr>
        <w:pStyle w:val="Heading1"/>
      </w:pPr>
      <w:r>
        <w:t>Aufgenommen am 29.09.2026</w:t>
      </w:r>
    </w:p>
    <w:p>
      <w:pPr>
        <w:pStyle w:val="Heading2"/>
      </w:pPr>
      <w:r>
        <w:t>KI-Chatbot verbessert HPV-Impf-Verständnis gegenüber Regierungsbroschüre</w:t>
      </w:r>
    </w:p>
    <w:p>
      <w:r>
        <w:rPr>
          <w:i/>
          <w:color w:val="666666"/>
          <w:sz w:val="18"/>
        </w:rPr>
        <w:t>Kobayashi K et al.  ·  JAMA Netw Open  ·  01.09.2026  ·  PMID 42804696</w:t>
      </w:r>
    </w:p>
    <w:p>
      <w:r>
        <w:t>Randomisierte Studie mit 848 weiblichen Betreuerinnen in Japan (Endauswertung: 704 unmittelbar, 477 nach 2 Wochen), die Impf-Verständnis nach AI-Chatbot oder Regierungsbroschüre zur HPV-Prävention bei Töchtern maßen.</w:t>
      </w:r>
    </w:p>
    <w:p>
      <w:r>
        <w:rPr>
          <w:b/>
        </w:rPr>
        <w:t xml:space="preserve">Ergebnis: </w:t>
      </w:r>
      <w:r>
        <w:t>Chatbot-Gruppe zeigte höhere Impf-Verständniswerte unmittelbar nach Intervention (adjustierte Mittelwertdifferenz 0,30 Punkte auf 0–7-Skala, KI 0,18–0,43, p &lt; 0,001) und nach 2 Wochen (0,30 Punkte, KI 0,13–0,47, p &lt; 0,001); Impfentscheidungen unterschieden sich nicht (40,3% vs. 39,6%, p = 0,31). Verständnis war messbar höher, führte aber kurzfristig nicht zu mehr Impfungen.</w:t>
      </w:r>
    </w:p>
    <w:p>
      <w:r>
        <w:rPr>
          <w:b/>
          <w:sz w:val="19"/>
        </w:rPr>
        <w:t xml:space="preserve">Übertragbarkeit: </w:t>
      </w:r>
      <w:r>
        <w:rPr>
          <w:sz w:val="19"/>
        </w:rPr>
        <w:t>Japan, Frage sprachabhängig; Chatbot-Effekt auf Verständnis nicht systemgebunden.</w:t>
      </w:r>
    </w:p>
    <w:p>
      <w:r>
        <w:rPr>
          <w:color w:val="5A7D3A"/>
          <w:sz w:val="18"/>
        </w:rPr>
        <w:t>https://pubmed.ncbi.nlm.nih.gov/42804696/</w:t>
      </w:r>
    </w:p>
    <w:p>
      <w:pPr>
        <w:pStyle w:val="Heading2"/>
      </w:pPr>
      <w:r>
        <w:t>Teach-Back-Methode mit Ernährungsberatung senkt Blutzucker und verbessert Schwangerschaftsergebnisse</w:t>
      </w:r>
    </w:p>
    <w:p>
      <w:r>
        <w:rPr>
          <w:i/>
          <w:color w:val="666666"/>
          <w:sz w:val="18"/>
        </w:rPr>
        <w:t>Li H  ·  Endocrine  ·  28.09.2026  ·  PMID 42804033</w:t>
      </w:r>
    </w:p>
    <w:p>
      <w:r>
        <w:t>Retrospektive Analyse von 120 Schwangeren mit Gestationsdiabetes, die entweder Routineaufklärung oder Teach-Back-Methode mit umfassender Ernährungsintervention erhielten, um Auswirkungen auf mütterliche und neonatale Gesundheitsergebnisse zu untersuchen.</w:t>
      </w:r>
    </w:p>
    <w:p>
      <w:r>
        <w:rPr>
          <w:b/>
        </w:rPr>
        <w:t xml:space="preserve">Ergebnis: </w:t>
      </w:r>
      <w:r>
        <w:t>Die Teach-Back-Gruppe zeigte niedrigere Nüchternblutzuckerwerte, höhere Selbstwirksamkeitswerte und weniger postpartale Blutungen, Frühgeburten, Makrosomie und neonatale Asphyxie (alle p &lt; 0,05); spontane vaginale Entbindungsrate höher, Pflegezufriedenheit höher. Ein Maß für das Verständnis der Aufklärung (Teach-Back) führte nachweislich zu besseren klinischen Ergebnissen.</w:t>
      </w:r>
    </w:p>
    <w:p>
      <w:r>
        <w:rPr>
          <w:b/>
          <w:sz w:val="19"/>
        </w:rPr>
        <w:t xml:space="preserve">Übertragbarkeit: </w:t>
      </w:r>
      <w:r>
        <w:rPr>
          <w:sz w:val="19"/>
        </w:rPr>
        <w:t>China, aber Teach-Back-Effektivität nicht sprachgebunden.</w:t>
      </w:r>
    </w:p>
    <w:p>
      <w:r>
        <w:rPr>
          <w:color w:val="5A7D3A"/>
          <w:sz w:val="18"/>
        </w:rPr>
        <w:t>https://pubmed.ncbi.nlm.nih.gov/42804033/</w:t>
      </w:r>
    </w:p>
    <w:p>
      <w:pPr>
        <w:pStyle w:val="Heading2"/>
      </w:pPr>
      <w:r>
        <w:t>Dolmetscher mit Gehörlosenerfahrung verbessern Shared Decision Making bei Krebsvorsorge</w:t>
      </w:r>
    </w:p>
    <w:p>
      <w:r>
        <w:rPr>
          <w:i/>
          <w:color w:val="666666"/>
          <w:sz w:val="18"/>
        </w:rPr>
        <w:t>Perrodin-Njoku E et al.  ·  Cancer Control  ·  28.09.2026  ·  PMID 42803113</w:t>
      </w:r>
    </w:p>
    <w:p>
      <w:r>
        <w:t>Qualitative nested study mit 15 gehörlosen und schwerhörigen Erwachsenen, die an einem Programm mit Gebärdensprachdolmetscher-Navigatoren teilnahmen, zu deren Erfahrungen bei Krebsvorsorgescreening.</w:t>
      </w:r>
    </w:p>
    <w:p>
      <w:r>
        <w:rPr>
          <w:b/>
        </w:rPr>
        <w:t xml:space="preserve">Ergebnis: </w:t>
      </w:r>
      <w:r>
        <w:t>Interventions-Teilnehmer beschrieben selbstgeleitete Entscheidungsfindung und höheres Vertrauen, während Standardversorgung-Teilnehmer häufiger Anbieterempfehlungen befolgten ohne Deliberation. Dolmetscher mit geteilter Gehörlosenerfahrung wurden als entscheidend für Vertrauensaufbau und Screening-Engagement genannt. Videoferndolmetschzugang war universelle Barriere für echte Shared Decision Making.</w:t>
      </w:r>
    </w:p>
    <w:p>
      <w:r>
        <w:rPr>
          <w:b/>
          <w:sz w:val="19"/>
        </w:rPr>
        <w:t xml:space="preserve">Übertragbarkeit: </w:t>
      </w:r>
      <w:r>
        <w:rPr>
          <w:sz w:val="19"/>
        </w:rPr>
        <w:t>USA, Befund zur Identifikation und Vertrauenseffekt übertragbar.</w:t>
      </w:r>
    </w:p>
    <w:p>
      <w:r>
        <w:rPr>
          <w:color w:val="5A7D3A"/>
          <w:sz w:val="18"/>
        </w:rPr>
        <w:t>https://pubmed.ncbi.nlm.nih.gov/42803113/</w:t>
      </w:r>
    </w:p>
    <w:p>
      <w:pPr>
        <w:pStyle w:val="Heading2"/>
      </w:pPr>
      <w:r>
        <w:t>Was fördert und hemmt Patientenbeteiligung in Forschungsgremien</w:t>
      </w:r>
    </w:p>
    <w:p>
      <w:r>
        <w:rPr>
          <w:i/>
          <w:color w:val="666666"/>
          <w:sz w:val="18"/>
        </w:rPr>
        <w:t>Jawanda S et al.  ·  Health Expect  ·  Okt. 2026  ·  PMID 42802662</w:t>
      </w:r>
    </w:p>
    <w:p>
      <w:r>
        <w:t>Qualitative Studie mit 11 Panelmitgliedern (Jugendliche, Betreuer, Gesundheitsanbieter, Systemführer) zu Erfahrungen und Barrieren der Teilnahme an einem integrierten Knowledge-Translation-Panel für Konsensbildung.</w:t>
      </w:r>
    </w:p>
    <w:p>
      <w:r>
        <w:rPr>
          <w:b/>
        </w:rPr>
        <w:t xml:space="preserve">Ergebnis: </w:t>
      </w:r>
      <w:r>
        <w:t>Mittlere PEIRS-22-Bewertung 88,3 (SD 10,5), 70% berichteten sehr oder extrem sinnvolle Beteiligung. Förderfaktoren: klare Kommunikation, Vertrauen, inklusives Umfeld, flexible Teilnahmeoptionen. Hemmnisse: Kommunikationsbelastung, Machtdynamiken, konkurrierende Verpflichtungen, Technologieprobleme, unerfüllte Erwartungen.</w:t>
      </w:r>
    </w:p>
    <w:p>
      <w:r>
        <w:rPr>
          <w:b/>
          <w:sz w:val="19"/>
        </w:rPr>
        <w:t xml:space="preserve">Übertragbarkeit: </w:t>
      </w:r>
      <w:r>
        <w:rPr>
          <w:sz w:val="19"/>
        </w:rPr>
        <w:t>Kanada, übertragbar auf deutschsprachige Beteiligungsgremien.</w:t>
      </w:r>
    </w:p>
    <w:p>
      <w:r>
        <w:rPr>
          <w:color w:val="5A7D3A"/>
          <w:sz w:val="18"/>
        </w:rPr>
        <w:t>https://pubmed.ncbi.nlm.nih.gov/42802662/</w:t>
      </w:r>
    </w:p>
    <w:p>
      <w:pPr>
        <w:pStyle w:val="Heading2"/>
      </w:pPr>
      <w:r>
        <w:t>Gesundheitskompetenz älterer Menschen mit Multimorbidität zeigt drei heterogene Profile</w:t>
      </w:r>
    </w:p>
    <w:p>
      <w:r>
        <w:rPr>
          <w:i/>
          <w:color w:val="666666"/>
          <w:sz w:val="18"/>
        </w:rPr>
        <w:t>Guo J et al.  ·  Front Public Health  ·  11.09.2026  ·  PMID 42798461</w:t>
      </w:r>
    </w:p>
    <w:p>
      <w:r>
        <w:t>Latent-Profile-Analyse mit 302 älteren multimorbiden Patienten aus China zur Identifikation von Gesundheitskompetenz-Klassen und deren Assoziation mit Selbstmanagement-Verhalten.</w:t>
      </w:r>
    </w:p>
    <w:p>
      <w:r>
        <w:rPr>
          <w:b/>
        </w:rPr>
        <w:t xml:space="preserve">Ergebnis: </w:t>
      </w:r>
      <w:r>
        <w:t>Drei Profile identifiziert: 18,5% niedrige Kompetenz mit begrenzter Informationsverarbeitung, 42,6% moderate Kompetenz mit Arztabhängigkeit, 38,9% hohe Kompetenz mit autonomer Entscheidung. Geschlecht, Alter, Wohnort, Bildung, Alkoholkonsum und Krankheitsdauer signifikant assoziiert. Selbstmanagement unterschied sich markant zwischen Profilen. Heterogenität erfordert gestaffelte, profilspezifische Interventionen.</w:t>
      </w:r>
    </w:p>
    <w:p>
      <w:r>
        <w:rPr>
          <w:b/>
          <w:sz w:val="19"/>
        </w:rPr>
        <w:t xml:space="preserve">Übertragbarkeit: </w:t>
      </w:r>
      <w:r>
        <w:rPr>
          <w:sz w:val="19"/>
        </w:rPr>
        <w:t>China, aber Profile-Struktur und Bildungseffekt auf deutsches Alter 65+ übertragbar.</w:t>
      </w:r>
    </w:p>
    <w:p>
      <w:r>
        <w:rPr>
          <w:color w:val="5A7D3A"/>
          <w:sz w:val="18"/>
        </w:rPr>
        <w:t>https://pubmed.ncbi.nlm.nih.gov/42798461/</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Gesundheitskompetenz bei älteren Patienten mit Herz-Kreislauf-Erkrankungen: Latente Profilanalyse</w:t>
      </w:r>
    </w:p>
    <w:p>
      <w:r>
        <w:rPr>
          <w:i/>
          <w:color w:val="666666"/>
          <w:sz w:val="18"/>
        </w:rPr>
        <w:t>Xu M et al.  ·  Front Public Health  ·  27.08.2026  ·  PMID 42723856</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https://pubmed.ncbi.nlm.nih.gov/42723856/</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dc:title>
  <dc:subject/>
  <dc:creator>Monitor Versorgungsforschung</dc:creator>
  <cp:keywords/>
  <dc:description>generated by python-docx</dc:description>
  <cp:lastModifiedBy/>
  <cp:revision>1</cp:revision>
  <dcterms:created xsi:type="dcterms:W3CDTF">2026-10-14T06:00:00Z</dcterms:created>
  <dcterms:modified xsi:type="dcterms:W3CDTF">2026-10-14T06:00:00Z</dcterms:modified>
  <cp:category/>
</cp:coreProperties>
</file>