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w:t>
      </w:r>
    </w:p>
    <w:p>
      <w:r>
        <w:rPr>
          <w:i/>
          <w:color w:val="666666"/>
          <w:sz w:val="18"/>
        </w:rPr>
        <w:t>Stand: 30.10.2026  |  423 Studien  |  healthliteracy.m-vf.de</w:t>
      </w:r>
    </w:p>
    <w:p>
      <w:pPr>
        <w:pStyle w:val="Heading1"/>
      </w:pPr>
      <w:r>
        <w:t>Aufgenommen am 30.10.2026</w:t>
      </w:r>
    </w:p>
    <w:p>
      <w:pPr>
        <w:pStyle w:val="Heading2"/>
      </w:pPr>
      <w:r>
        <w:t>Wie Wissensstand und Risk Literacy die Angst vor Strahlenschäden prägen</w:t>
      </w:r>
    </w:p>
    <w:p>
      <w:r>
        <w:rPr>
          <w:i/>
          <w:color w:val="666666"/>
          <w:sz w:val="18"/>
        </w:rPr>
        <w:t>Kashiwazaki Y et al.  ·  Front Public Health  ·  14.10.2026  ·  PMID 42952800</w:t>
      </w:r>
    </w:p>
    <w:p>
      <w:r>
        <w:t>Japanische Querschnittsstudie (n=1.529) untersuchte, wie Strahlen-Wissen und multidimensionale Risk Literacy mit Besorgnis über vererbbare Folgen der Fukushima-Katastrophe zusammenhängen.</w:t>
      </w:r>
    </w:p>
    <w:p>
      <w:r>
        <w:rPr>
          <w:b/>
        </w:rPr>
        <w:t xml:space="preserve">Ergebnis: </w:t>
      </w:r>
      <w:r>
        <w:t>Fukushima-Einwohner hatten höheres Strahlen-Wissen, Tokyo-Bewohner höhere Besorgnis. Höheres Wissen (OR=0,77, 95%-KI: 0,69–0,85) und bessere Risk Literacy, besonders Awareness für kogn. Verzerrungen, waren unabhängig mit niedrigerer Besorgnis assoziiert (p&lt;0,05). Etwa 29 % (95%-KI: 20,1–42,2 %) der Wissen-Besorgnis-Assoziation wurde durch Risk Literacy mediiert. Geographischer Unterschied blieb auch nach Adjustment bestehen (OR=1,42 vs. 1,53).</w:t>
      </w:r>
    </w:p>
    <w:p>
      <w:r>
        <w:rPr>
          <w:b/>
          <w:sz w:val="19"/>
        </w:rPr>
        <w:t xml:space="preserve">Übertragbarkeit: </w:t>
      </w:r>
      <w:r>
        <w:rPr>
          <w:sz w:val="19"/>
        </w:rPr>
        <w:t>Japan, aber Befund zur Komplementarität von Fakten-Wissen und strukturiertem Risiko-Reasoning übertragbar auf deutsche Krisenkommunikation.</w:t>
      </w:r>
    </w:p>
    <w:p>
      <w:r>
        <w:rPr>
          <w:color w:val="5A7D3A"/>
          <w:sz w:val="18"/>
        </w:rPr>
        <w:t>https://pubmed.ncbi.nlm.nih.gov/42952800/</w:t>
      </w:r>
    </w:p>
    <w:p>
      <w:pPr>
        <w:pStyle w:val="Heading2"/>
      </w:pPr>
      <w:r>
        <w:t>Wie entwickelt sich Familienbeteiligung auf Intensivstationen?</w:t>
      </w:r>
    </w:p>
    <w:p>
      <w:r>
        <w:rPr>
          <w:i/>
          <w:color w:val="666666"/>
          <w:sz w:val="18"/>
        </w:rPr>
        <w:t>Badawy W et al.  ·  Nurs Crit Care  ·  Nov. 2026  ·  PMID 42952167</w:t>
      </w:r>
    </w:p>
    <w:p>
      <w:r>
        <w:t>Bibliometrische Analyse (n=278 Publikationen 1993–2025) kartierte Entwicklung, Konzepte und Themen zur Familienbeteiligung und Shared Decision-Making in der Intensivpflege weltweit.</w:t>
      </w:r>
    </w:p>
    <w:p>
      <w:r>
        <w:rPr>
          <w:b/>
        </w:rPr>
        <w:t xml:space="preserve">Ergebnis: </w:t>
      </w:r>
      <w:r>
        <w:t>Jahresoutput stieg von 2 Publikationen (1993) auf 32 (2025); 50,7 % in 2020–2025. USA führte mit 104 Publikationen; 23,9 % international co-autorisiert. Vier intellektuelle Grundlagen und fünf Forschungsfronten identifiziert. Sechs Themen: End-of-Life-Kommunikation, Familie-zentrierte Pflege, Unterstützung und Besuchsregelung, Familie in High-Acuity-Care, Caregiver-Erfahrung und Trauer. Trend weg von Bedürfnisassessment zur aktiven Beteiligung, Implementierungsbarrieren und Pflegerolle.</w:t>
      </w:r>
    </w:p>
    <w:p>
      <w:r>
        <w:rPr>
          <w:b/>
          <w:sz w:val="19"/>
        </w:rPr>
        <w:t xml:space="preserve">Übertragbarkeit: </w:t>
      </w:r>
      <w:r>
        <w:rPr>
          <w:sz w:val="19"/>
        </w:rPr>
        <w:t>Systematische Übersicht mit Fokus auf deutschsprachige Unterrepräsentation; Befund zur Unterspecifizierung der Pflegerolle relevant für DACH-Versorgung.</w:t>
      </w:r>
    </w:p>
    <w:p>
      <w:r>
        <w:rPr>
          <w:color w:val="5A7D3A"/>
          <w:sz w:val="18"/>
        </w:rPr>
        <w:t>https://pubmed.ncbi.nlm.nih.gov/42952167/</w:t>
      </w:r>
    </w:p>
    <w:p>
      <w:pPr>
        <w:pStyle w:val="Heading2"/>
      </w:pPr>
      <w:r>
        <w:t>Mental-Health-Kompetenz und Versorgungsnutzung in Minderheitengruppen</w:t>
      </w:r>
    </w:p>
    <w:p>
      <w:r>
        <w:rPr>
          <w:i/>
          <w:color w:val="666666"/>
          <w:sz w:val="18"/>
        </w:rPr>
        <w:t>Abo-Ras N et al.  ·  Isr J Health Policy Res  ·  29.10.2026  ·  PMID 42952009</w:t>
      </w:r>
    </w:p>
    <w:p>
      <w:r>
        <w:t>Querschnittsstudie (n=372 palästinensische Araber in Israel) untersuchte Zusammenhang zwischen Mental-Health-Literacy, sozioökonomischem Status und Nutzung psychischer Gesundheitsdienste.</w:t>
      </w:r>
    </w:p>
    <w:p>
      <w:r>
        <w:rPr>
          <w:b/>
        </w:rPr>
        <w:t xml:space="preserve">Ergebnis: </w:t>
      </w:r>
      <w:r>
        <w:t>Höherer SES (gemessen durch Bildung und Einkommen) war mit höherer Mental-Health-Literacy assoziiert, besonders bei Störungs-Erkennung, Kenntnis von Interventionen und niedrigerem Stigma (bivariat p&lt;0,05). Hierarchische logistische Regression: Bildung (OR=3,62, 95%-KI: 1,38–9,45) und First-Aid-Wissen (OR=0,86, 95%-KI: 0,75–0,99) waren signifikant mit Dienst-Nutzung assoziiert; Stigma und Helfer-Kenntnis nicht.</w:t>
      </w:r>
    </w:p>
    <w:p>
      <w:r>
        <w:rPr>
          <w:b/>
          <w:sz w:val="19"/>
        </w:rPr>
        <w:t xml:space="preserve">Übertragbarkeit: </w:t>
      </w:r>
      <w:r>
        <w:rPr>
          <w:sz w:val="19"/>
        </w:rPr>
        <w:t>Minderheitengruppe in Hocheinkommensland, aber Befund zu Ungleichheit und Barrieren übertragbar auf vulnerable Gruppen in Deutschland.</w:t>
      </w:r>
    </w:p>
    <w:p>
      <w:r>
        <w:rPr>
          <w:color w:val="5A7D3A"/>
          <w:sz w:val="18"/>
        </w:rPr>
        <w:t>https://pubmed.ncbi.nlm.nih.gov/42952009/</w:t>
      </w:r>
    </w:p>
    <w:p>
      <w:pPr>
        <w:pStyle w:val="Heading2"/>
      </w:pPr>
      <w:r>
        <w:t>Wie werden Gesundheitsberufe in Mental-Health-Kompetenz ausgebildet?</w:t>
      </w:r>
    </w:p>
    <w:p>
      <w:r>
        <w:rPr>
          <w:i/>
          <w:color w:val="666666"/>
          <w:sz w:val="18"/>
        </w:rPr>
        <w:t>ElKhalil R et al.  ·  PLoS One  ·  27.10.2026  ·  PMID 42945323</w:t>
      </w:r>
    </w:p>
    <w:p>
      <w:r>
        <w:t>Scoping Review (n=55 Studien, 1997–Mai 2025) analysierte Umfang, Design und Wirksamkeit von Mental-Health-Literacy-Schulungen für angehende Gesundheitsberufe weltweit.</w:t>
      </w:r>
    </w:p>
    <w:p>
      <w:r>
        <w:rPr>
          <w:b/>
        </w:rPr>
        <w:t xml:space="preserve">Ergebnis: </w:t>
      </w:r>
      <w:r>
        <w:t>Publikationen stiegen nach 2016 deutlich an; 50,7 % erschienen 2020–2025. Quasi-experimentelle Designs waren häufigsten. Unterrichtsformen: traditionelle Didaktik dominierte, aber Simulation, Roleplay und reflektive Praktiken nahmen zu. Interventionen betonten Wissen, Attitudes und Confidence, weniger Skillentwicklung oder Verhaltensänderung. Evaluationen meist kurzfristig selbstberichtet; wenige Studien zu Verhaltenseffekten oder Langzeitwirkung. Geografische Lücke: Europa, Western Pacific und Americas überrepräsentiert; Afrika und Östliches Mittelmeer unterrepräsentiert.</w:t>
      </w:r>
    </w:p>
    <w:p>
      <w:r>
        <w:rPr>
          <w:b/>
          <w:sz w:val="19"/>
        </w:rPr>
        <w:t xml:space="preserve">Übertragbarkeit: </w:t>
      </w:r>
      <w:r>
        <w:rPr>
          <w:sz w:val="19"/>
        </w:rPr>
        <w:t>Global systematisiert, aber für Deutschland relevant: Befunde zeigen Bedarf für längerfristige, verhaltensorientierte Ausbildung statt reiner Wissensvermittlung.</w:t>
      </w:r>
    </w:p>
    <w:p>
      <w:r>
        <w:rPr>
          <w:color w:val="5A7D3A"/>
          <w:sz w:val="18"/>
        </w:rPr>
        <w:t>https://pubmed.ncbi.nlm.nih.gov/42945323/</w:t>
      </w:r>
    </w:p>
    <w:p>
      <w:pPr>
        <w:pStyle w:val="Heading2"/>
      </w:pPr>
      <w:r>
        <w:t>Bessert 3D-Simulation die Vorbereitung auf Ileostomie?</w:t>
      </w:r>
    </w:p>
    <w:p>
      <w:r>
        <w:rPr>
          <w:i/>
          <w:color w:val="666666"/>
          <w:sz w:val="18"/>
        </w:rPr>
        <w:t>Abet E et al.  ·  J Visc Surg  ·  13.04.2026  ·  PMID 42928528</w:t>
      </w:r>
    </w:p>
    <w:p>
      <w:r>
        <w:t>Französische RCT (n=50) verglich präoperative therapeutische Schulung mit versus ohne 3D-gedrucktes Simulations-Gerät zur Stoma-Stelle-Markierung auf Verständnis und postoperative Lebensqualität.</w:t>
      </w:r>
    </w:p>
    <w:p>
      <w:r>
        <w:rPr>
          <w:b/>
        </w:rPr>
        <w:t xml:space="preserve">Ergebnis: </w:t>
      </w:r>
      <w:r>
        <w:t>Stoma-QoL-Scores nach 2 Monaten: PM-Gruppe 60±9, 3D-Gruppe 61±11 (p=0,88); kein signifikanter Unterschied. Allerdings: 6 Patienten (24 %) in 3D-Gruppe erlebten Nebenwirkungen durch das Gerät vs. 5 in PM-Gruppe. Patienten mit Komplikationen (Clavien-Dindo ≥3) brauchten häufigere Stomatherapie-Konsultationen: 4,8±4,5 vs. 0,2±1,9 (p&lt;0,001).</w:t>
      </w:r>
    </w:p>
    <w:p>
      <w:r>
        <w:rPr>
          <w:b/>
          <w:sz w:val="19"/>
        </w:rPr>
        <w:t xml:space="preserve">Übertragbarkeit: </w:t>
      </w:r>
      <w:r>
        <w:rPr>
          <w:sz w:val="19"/>
        </w:rPr>
        <w:t>Frankreich, französisches Gesundheitssystem, aber Befund zur patientenzentrierten Schulung ohne technische Mehrwertigkeit übertragbar.</w:t>
      </w:r>
    </w:p>
    <w:p>
      <w:r>
        <w:rPr>
          <w:color w:val="5A7D3A"/>
          <w:sz w:val="18"/>
        </w:rPr>
        <w:t>https://pubmed.ncbi.nlm.nih.gov/42928528/</w:t>
      </w:r>
    </w:p>
    <w:p>
      <w:pPr>
        <w:pStyle w:val="Heading2"/>
      </w:pPr>
      <w:r>
        <w:t>Wann wünschen sich Patienten Familienbeteiligung bei Entscheidungen?</w:t>
      </w:r>
    </w:p>
    <w:p>
      <w:r>
        <w:rPr>
          <w:i/>
          <w:color w:val="666666"/>
          <w:sz w:val="18"/>
        </w:rPr>
        <w:t>Yakhlaf A et al.  ·  Med Decis Making  ·  20.08.2026  ·  PMID 42619564</w:t>
      </w:r>
    </w:p>
    <w:p>
      <w:r>
        <w:t>Belgische Studie (n=1.175) untersuchte mittels Vignetten-Experiment, wie Patienten die Einbeziehung von Familienangehörigen in medizinische Entscheidungen bei Krebs und Depression bewerten.</w:t>
      </w:r>
    </w:p>
    <w:p>
      <w:r>
        <w:rPr>
          <w:b/>
        </w:rPr>
        <w:t xml:space="preserve">Ergebnis: </w:t>
      </w:r>
      <w:r>
        <w:t>Familien-geleitete Entscheidungen waren selten (1,2–2,7 %), Mehrheit bevorzugte autonome Entscheidungen (70,9–81,0 %). Gemeinsame Entscheidungen mit Familie wurden bei schwerer Depression am häufigsten gewünscht (26,4 %), gefolgt von Krebs (21,4 %) und milder Depression (17,6 %). Höhere Bildung korrelierte mit schwächerer Preference für Familienbeteiligung (p&lt;0,05). Migrationshintergrund und Partnerschaft waren mit stärkerer Preference assoziiert.</w:t>
      </w:r>
    </w:p>
    <w:p>
      <w:r>
        <w:rPr>
          <w:b/>
          <w:sz w:val="19"/>
        </w:rPr>
        <w:t xml:space="preserve">Übertragbarkeit: </w:t>
      </w:r>
      <w:r>
        <w:rPr>
          <w:sz w:val="19"/>
        </w:rPr>
        <w:t>Belgien, vergleichbares europäisches Autonomie-Gesundheitssystem und Patientenpräferenzen übertragbar auf DACH-Region.</w:t>
      </w:r>
    </w:p>
    <w:p>
      <w:r>
        <w:rPr>
          <w:color w:val="5A7D3A"/>
          <w:sz w:val="18"/>
        </w:rPr>
        <w:t>https://pubmed.ncbi.nlm.nih.gov/42619564/</w:t>
      </w:r>
    </w:p>
    <w:p>
      <w:pPr>
        <w:pStyle w:val="Heading1"/>
      </w:pPr>
      <w:r>
        <w:t>Aufgenommen am 29.10.2026</w:t>
      </w:r>
    </w:p>
    <w:p>
      <w:pPr>
        <w:pStyle w:val="Heading2"/>
      </w:pPr>
      <w:r>
        <w:t>Kulturell maßgeschneiderte Schulung erhöht Verständnis klinischer Krebsstudien bei Minderheiten</w:t>
      </w:r>
    </w:p>
    <w:p>
      <w:r>
        <w:rPr>
          <w:i/>
          <w:color w:val="666666"/>
          <w:sz w:val="18"/>
        </w:rPr>
        <w:t>Arce-Ruiz K et al.  ·  JCO Glob Oncol  ·  28.10.2026  ·  PMID 42950177</w:t>
      </w:r>
    </w:p>
    <w:p>
      <w:r>
        <w:t>USA, Florida, Pilotstudie mit 30 schwarzen und hispanischen/lateinamerikanischen Lungenkrebspatienten; drei kurze, kulturell angepasste und sprachlich entsprechende Video-Schulungen zu klinischen Studien; Wissens- und Bereitschaftsmessung vor und nach; Nachverfolgung der Studieneinschlüsse.</w:t>
      </w:r>
    </w:p>
    <w:p>
      <w:r>
        <w:rPr>
          <w:b/>
        </w:rPr>
        <w:t xml:space="preserve">Ergebnis: </w:t>
      </w:r>
      <w:r>
        <w:t>Wissensscores verbesserten sich (p &lt; 0,001), besonders zum Verständnis von Prästudien (p = 0,012), Placebos (p = 0,001) und Registrierung (p = 0,012). &gt;90% stimmten zu, dass klinische Studien wichtig sind. Bereitschaft zur Teilnahme stieg (p = 0,04). Barrieren persistierten (Angst vor Zustimmungskomplexität, Randomisierung, Kosten). 57% (17/30) hatten eine Studie verfügbar; 47% dieser Berechtigten (8/17) enrollten sich. Gesamtenrollment 27% (8/30).</w:t>
      </w:r>
    </w:p>
    <w:p>
      <w:r>
        <w:rPr>
          <w:b/>
          <w:sz w:val="19"/>
        </w:rPr>
        <w:t xml:space="preserve">Übertragbarkeit: </w:t>
      </w:r>
      <w:r>
        <w:rPr>
          <w:sz w:val="19"/>
        </w:rPr>
        <w:t>USA-Studie, aber Befund zu sprachlich-kultureller Anpassung und Videoformat universell anwendbar.</w:t>
      </w:r>
    </w:p>
    <w:p>
      <w:r>
        <w:rPr>
          <w:color w:val="5A7D3A"/>
          <w:sz w:val="18"/>
        </w:rPr>
        <w:t>https://pubmed.ncbi.nlm.nih.gov/42950177/</w:t>
      </w:r>
    </w:p>
    <w:p>
      <w:pPr>
        <w:pStyle w:val="Heading2"/>
      </w:pPr>
      <w:r>
        <w:t>Vertrauen und Beteiligung in der Psychiatrie: Patienten erleben Respekt, fordern aber mehr Mitsprache</w:t>
      </w:r>
    </w:p>
    <w:p>
      <w:r>
        <w:rPr>
          <w:i/>
          <w:color w:val="666666"/>
          <w:sz w:val="18"/>
        </w:rPr>
        <w:t>Vidaurrázaga Aras V et al.  ·  Int J Ment Health Nurs  ·  Dez. 2026  ·  PMID 42947530</w:t>
      </w:r>
    </w:p>
    <w:p>
      <w:r>
        <w:t>Landesweite schwedische Befragung von 329 Patienten in 13 forensisch-psychiatrischen Kliniken zur erlebten Patient-Zentriertheit mit standardisiertem Fragebogen.</w:t>
      </w:r>
    </w:p>
    <w:p>
      <w:r>
        <w:rPr>
          <w:b/>
        </w:rPr>
        <w:t xml:space="preserve">Ergebnis: </w:t>
      </w:r>
      <w:r>
        <w:t>Patienten berichteten positiv über Respekt und emotionale Unterstützung (Median Generic Person-Centred Care Questionnaire Score 70/95). Aber: Beteiligung an Entscheidungen, Nutzung von Patientenressourcen und Einbeziehung von Angehörigen wurden deutlich negativer bewertet. Patienten mit über 10 Jahren Aufenthalt zeigten signifikant niedriges Vertrauen in Personal gegenüber jenen mit 0–5 Jahren Aufenthalt – ein Zeichen für Erschöpfung durch lange Institutionalisierung.</w:t>
      </w:r>
    </w:p>
    <w:p>
      <w:r>
        <w:rPr>
          <w:b/>
          <w:sz w:val="19"/>
        </w:rPr>
        <w:t xml:space="preserve">Übertragbarkeit: </w:t>
      </w:r>
      <w:r>
        <w:rPr>
          <w:sz w:val="19"/>
        </w:rPr>
        <w:t>Schweden, Gatekeeping-Spitalwesen, aber Befund zu Partizipationsmängeln übertragbar.</w:t>
      </w:r>
    </w:p>
    <w:p>
      <w:r>
        <w:rPr>
          <w:color w:val="5A7D3A"/>
          <w:sz w:val="18"/>
        </w:rPr>
        <w:t>https://pubmed.ncbi.nlm.nih.gov/42947530/</w:t>
      </w:r>
    </w:p>
    <w:p>
      <w:pPr>
        <w:pStyle w:val="Heading2"/>
      </w:pPr>
      <w:r>
        <w:t>Verständliche Gesundheitsempfehlungen: Was Laien brauchen</w:t>
      </w:r>
    </w:p>
    <w:p>
      <w:r>
        <w:rPr>
          <w:i/>
          <w:color w:val="666666"/>
          <w:sz w:val="18"/>
        </w:rPr>
        <w:t>Vrbová T et al.  ·  J Eval Clin Pract  ·  Okt. 2026  ·  PMID 42947353</w:t>
      </w:r>
    </w:p>
    <w:p>
      <w:r>
        <w:t>Fünf Fokusgruppen in Tschechien erkundeten, wie Menschen Standard- und Plain-Language-Versionen von Gesundheitsempfehlungen verstehen und bewerten.</w:t>
      </w:r>
    </w:p>
    <w:p>
      <w:r>
        <w:rPr>
          <w:b/>
        </w:rPr>
        <w:t xml:space="preserve">Ergebnis: </w:t>
      </w:r>
      <w:r>
        <w:t>Vier zentrale Faktoren bestimmen das Verständnis: (1) Auffindbarkeit/Zugänglichkeit der Information, (2) verfügbare Zeit für Lektüre, (3) Attraktivität des Themas, (4) Vertrauen in die Quelle. Die meisten bevorzugten die Plain-Language-Version für konkrete Informationen, einige aber die Standardversion für komplexere Zusammenhänge. Vertrauen in die Quelle war kritisch für die Umsetzung von Empfehlungen.</w:t>
      </w:r>
    </w:p>
    <w:p>
      <w:r>
        <w:rPr>
          <w:b/>
          <w:sz w:val="19"/>
        </w:rPr>
        <w:t xml:space="preserve">Übertragbarkeit: </w:t>
      </w:r>
      <w:r>
        <w:rPr>
          <w:sz w:val="19"/>
        </w:rPr>
        <w:t>Tschechien, deutschsprachig benachbart, sprachunabhängige Befunde zu Zugang und Vertrauen.</w:t>
      </w:r>
    </w:p>
    <w:p>
      <w:r>
        <w:rPr>
          <w:color w:val="5A7D3A"/>
          <w:sz w:val="18"/>
        </w:rPr>
        <w:t>https://pubmed.ncbi.nlm.nih.gov/42947353/</w:t>
      </w:r>
    </w:p>
    <w:p>
      <w:pPr>
        <w:pStyle w:val="Heading2"/>
      </w:pPr>
      <w:r>
        <w:t>Digitale Schulungen für chronisch Kranke im Alter: Evidenz bleibt schwach</w:t>
      </w:r>
    </w:p>
    <w:p>
      <w:r>
        <w:rPr>
          <w:i/>
          <w:color w:val="666666"/>
          <w:sz w:val="18"/>
        </w:rPr>
        <w:t>Sezer E et al.  ·  Front Public Health  ·  12.10.2026  ·  PMID 42935759</w:t>
      </w:r>
    </w:p>
    <w:p>
      <w:r>
        <w:t>Umbrella Review von 11 Cochrane- und anderen systematischen Übersichten über digitale Gesundheitsschulungen für über 60-Jährige mit chronischen Erkrankungen (44 Meta-Analysen aus 199 RCTs).</w:t>
      </w:r>
    </w:p>
    <w:p>
      <w:r>
        <w:rPr>
          <w:b/>
        </w:rPr>
        <w:t xml:space="preserve">Ergebnis: </w:t>
      </w:r>
      <w:r>
        <w:t>Keine der 44 Outcomes erfüllte Kriterien für hohe Evidenz (Class I–III). 15 Outcomes (34,1%) erreichten schwache Evidenz (Class IV), 29 (65,9%) waren nicht signifikant. Nur 3 von 10 systematischen Übersichten waren hochgradig vertrauenswürdig (AMSTAR 2). Prediction Interval kreuzte Null für alle 44 Outcomes. Schlussfolgerung: Unreife Evidenzbasis – wenige Studien, kurze Nachverfolgung, hohe Heterogenität – nicht fehlende Wirksamkeit.</w:t>
      </w:r>
    </w:p>
    <w:p>
      <w:r>
        <w:rPr>
          <w:b/>
          <w:sz w:val="19"/>
        </w:rPr>
        <w:t xml:space="preserve">Übertragbarkeit: </w:t>
      </w:r>
      <w:r>
        <w:rPr>
          <w:sz w:val="19"/>
        </w:rPr>
        <w:t>Methodische Synthese aus internationalen Studien, aber Lücke gilt auch für deutschsprachige Versorgung.</w:t>
      </w:r>
    </w:p>
    <w:p>
      <w:r>
        <w:rPr>
          <w:color w:val="5A7D3A"/>
          <w:sz w:val="18"/>
        </w:rPr>
        <w:t>https://pubmed.ncbi.nlm.nih.gov/42935759/</w:t>
      </w:r>
    </w:p>
    <w:p>
      <w:pPr>
        <w:pStyle w:val="Heading2"/>
      </w:pPr>
      <w:r>
        <w:t>Mundgesundheitsschulung senkt Zahnarztangst und verbessert Zahnpflege bei älteren Menschen</w:t>
      </w:r>
    </w:p>
    <w:p>
      <w:r>
        <w:rPr>
          <w:i/>
          <w:color w:val="666666"/>
          <w:sz w:val="18"/>
        </w:rPr>
        <w:t>Gamaa ARA et al.  ·  Nurs Open  ·  Okt. 2026  ·  PMID 42934862</w:t>
      </w:r>
    </w:p>
    <w:p>
      <w:r>
        <w:t>Ägypten, 50 ältere Menschen mit Zahnerkrankungen, sieben Schulungssitzungen von Stomatherapeuten zur Mundgesundheit, Zahnhygiene, Ernährung und Angstbewältigung; Messungen vor und nach Intervention.</w:t>
      </w:r>
    </w:p>
    <w:p>
      <w:r>
        <w:rPr>
          <w:b/>
        </w:rPr>
        <w:t xml:space="preserve">Ergebnis: </w:t>
      </w:r>
      <w:r>
        <w:t>Nach Intervention signifikant niedrigere Zahnangst-Werte (Short Dental Anxiety Inventory), höhere Mundgesundheitskompetenz und bessere Mundhygieneverhalten im Vergleich zur Baseline. Positive Assoziation zwischen höherem Wissen und besserem Verhalten. Limitierung: keine Kontrollgruppe.</w:t>
      </w:r>
    </w:p>
    <w:p>
      <w:r>
        <w:rPr>
          <w:b/>
          <w:sz w:val="19"/>
        </w:rPr>
        <w:t xml:space="preserve">Übertragbarkeit: </w:t>
      </w:r>
      <w:r>
        <w:rPr>
          <w:sz w:val="19"/>
        </w:rPr>
        <w:t>Ägypten, aber universelle Schulungselemente, Zahnpflege systemunabhängig.</w:t>
      </w:r>
    </w:p>
    <w:p>
      <w:r>
        <w:rPr>
          <w:color w:val="5A7D3A"/>
          <w:sz w:val="18"/>
        </w:rPr>
        <w:t>https://pubmed.ncbi.nlm.nih.gov/42934862/</w:t>
      </w:r>
    </w:p>
    <w:p>
      <w:pPr>
        <w:pStyle w:val="Heading2"/>
      </w:pPr>
      <w:r>
        <w:t>Mental-Health-Schulung in Schulen: Empfohlene Inhaltsabfolge und Pyramidenmodell</w:t>
      </w:r>
    </w:p>
    <w:p>
      <w:r>
        <w:rPr>
          <w:i/>
          <w:color w:val="666666"/>
          <w:sz w:val="18"/>
        </w:rPr>
        <w:t>Lezcano Barbero F et al.  ·  Actas Esp Psiquiatr  ·  15.10.2026  ·  PMID 42928668</w:t>
      </w:r>
    </w:p>
    <w:p>
      <w:r>
        <w:t>Systematische Übersicht von 26 schulgestützten Interventionen zur Förderung von Mental-Health-Literacy bei Adoleszenten; Scoping-Review mit Inhaltsanalyse zur Identifikation von Kernthemen und deren sinnvolle Reihenfolge.</w:t>
      </w:r>
    </w:p>
    <w:p>
      <w:r>
        <w:rPr>
          <w:b/>
        </w:rPr>
        <w:t xml:space="preserve">Ergebnis: </w:t>
      </w:r>
      <w:r>
        <w:t>Vierzehn thematische Kategorien identifiziert. Empfohlene hierarchische Abfolge: (1) Grundwissen zu psychischen Erkrankungen, (2) Stigmaabbau durch authentische Geschichten, (3) Hilfesuche, (4) Früherkennung und Prävention, (5) Schutzfaktoren und Bewältigungsstrategien, (6) Krisenerkennung und Erste Hilfe. Wenige Programme bezogen Menschen mit Erfahrung psychischer Erkrankungen ein.</w:t>
      </w:r>
    </w:p>
    <w:p>
      <w:r>
        <w:rPr>
          <w:b/>
          <w:sz w:val="19"/>
        </w:rPr>
        <w:t xml:space="preserve">Übertragbarkeit: </w:t>
      </w:r>
      <w:r>
        <w:rPr>
          <w:sz w:val="19"/>
        </w:rPr>
        <w:t>Spanien, aber inhaltliche Pyramide sprachunabhängig, schulische Strukturen vergleichbar.</w:t>
      </w:r>
    </w:p>
    <w:p>
      <w:r>
        <w:rPr>
          <w:color w:val="5A7D3A"/>
          <w:sz w:val="18"/>
        </w:rPr>
        <w:t>https://pubmed.ncbi.nlm.nih.gov/42928668/</w:t>
      </w:r>
    </w:p>
    <w:p>
      <w:pPr>
        <w:pStyle w:val="Heading1"/>
      </w:pPr>
      <w:r>
        <w:t>Aufgenommen am 28.10.2026</w:t>
      </w:r>
    </w:p>
    <w:p>
      <w:pPr>
        <w:pStyle w:val="Heading2"/>
      </w:pPr>
      <w:r>
        <w:t>Avatare mit KI trainieren Shared Decision-Making bei Medizinstudierenden</w:t>
      </w:r>
    </w:p>
    <w:p>
      <w:r>
        <w:rPr>
          <w:i/>
          <w:color w:val="666666"/>
          <w:sz w:val="18"/>
        </w:rPr>
        <w:t>Van Bostraeten P et al.  ·  JMIR Form Res  ·  27.10.2026  ·  PMID 42944729</w:t>
      </w:r>
    </w:p>
    <w:p>
      <w:r>
        <w:t>Studie zur Akzeptanz von LLM-gesteuerten 3D-Avataren für das Training von Shared Decision-Making in der medizinischen Ausbildung an der KU Leuven.</w:t>
      </w:r>
    </w:p>
    <w:p>
      <w:r>
        <w:rPr>
          <w:b/>
        </w:rPr>
        <w:t xml:space="preserve">Ergebnis: </w:t>
      </w:r>
      <w:r>
        <w:t>24 von 25 Studierenden zeigten hohe Akzeptanz (wahrgenommener Nutzen: 4,43/5; Nutzungsabsicht: 4,42/5; Benutzerfreundlichkeit: 3,81/5). Studierende berichteten einen sicheren Lernraum, wobei technische Zuverlässigkeit und Verhaltensrealismus verbessert werden sollten.</w:t>
      </w:r>
    </w:p>
    <w:p>
      <w:r>
        <w:rPr>
          <w:b/>
          <w:sz w:val="19"/>
        </w:rPr>
        <w:t xml:space="preserve">Übertragbarkeit: </w:t>
      </w:r>
      <w:r>
        <w:rPr>
          <w:sz w:val="19"/>
        </w:rPr>
        <w:t>Belgien/Niederlande, Universitätsmedizin; gutes System-Match für DACH-Ausbildung</w:t>
      </w:r>
    </w:p>
    <w:p>
      <w:r>
        <w:rPr>
          <w:color w:val="5A7D3A"/>
          <w:sz w:val="18"/>
        </w:rPr>
        <w:t>https://pubmed.ncbi.nlm.nih.gov/42944729/</w:t>
      </w:r>
    </w:p>
    <w:p>
      <w:pPr>
        <w:pStyle w:val="Heading2"/>
      </w:pPr>
      <w:r>
        <w:t>Gamifizierte Plattform steigert Ernährungskompetenz bei Jugendlichen kurzzeitig</w:t>
      </w:r>
    </w:p>
    <w:p>
      <w:r>
        <w:rPr>
          <w:i/>
          <w:color w:val="666666"/>
          <w:sz w:val="18"/>
        </w:rPr>
        <w:t>Ispas AG et al.  ·  Nutrients  ·  20.10.2026  ·  PMID 42943018</w:t>
      </w:r>
    </w:p>
    <w:p>
      <w:r>
        <w:t>Pilotstudie zu Kurzzeitergebnissen einer gamifizierten Ernährungsbildungsplattform (AHOPE) bei 155 rumänischen Jugendlichen nach einer Sitzung.</w:t>
      </w:r>
    </w:p>
    <w:p>
      <w:r>
        <w:rPr>
          <w:b/>
        </w:rPr>
        <w:t xml:space="preserve">Ergebnis: </w:t>
      </w:r>
      <w:r>
        <w:t>Alle sechs Ergebniswerte waren nach der Sitzung höher (alle p&lt;0,001; Effektgröße dz 0,42–0,73, höchste für Ernährungsliteralität). Von 23 Ernährungsgewohnheits-Items verschoben sich 17 zur gesünderen Antwort. Kein signifikanter Unterschied nach Geschlecht, Alter oder Familienreichtum.</w:t>
      </w:r>
    </w:p>
    <w:p>
      <w:r>
        <w:rPr>
          <w:b/>
          <w:sz w:val="19"/>
        </w:rPr>
        <w:t xml:space="preserve">Übertragbarkeit: </w:t>
      </w:r>
      <w:r>
        <w:rPr>
          <w:sz w:val="19"/>
        </w:rPr>
        <w:t>Rumänien (EU), externe Validierung nötig; Messungen nur kurzfristige Absichten, keine Verhaltensänderung belegt</w:t>
      </w:r>
    </w:p>
    <w:p>
      <w:r>
        <w:rPr>
          <w:color w:val="5A7D3A"/>
          <w:sz w:val="18"/>
        </w:rPr>
        <w:t>https://pubmed.ncbi.nlm.nih.gov/42943018/</w:t>
      </w:r>
    </w:p>
    <w:p>
      <w:pPr>
        <w:pStyle w:val="Heading2"/>
      </w:pPr>
      <w:r>
        <w:t>Visuelle Hilfsmittel verbessern Verständnis und Recall in Krebssprechstunden</w:t>
      </w:r>
    </w:p>
    <w:p>
      <w:r>
        <w:rPr>
          <w:i/>
          <w:color w:val="666666"/>
          <w:sz w:val="18"/>
        </w:rPr>
        <w:t>Moore-Davis S et al.  ·  Ir Med J  ·  22.10.2026  ·  PMID 42937119</w:t>
      </w:r>
    </w:p>
    <w:p>
      <w:r>
        <w:t>Prospektive Beobachtungsstudie zur Wirkung von visuellen Hilfsmitteln auf Patientenverständnis, Gedächtnis und Kommunikation bei Krebspatienten an einem Krankenhaus in Irland.</w:t>
      </w:r>
    </w:p>
    <w:p>
      <w:r>
        <w:rPr>
          <w:b/>
        </w:rPr>
        <w:t xml:space="preserve">Ergebnis: </w:t>
      </w:r>
      <w:r>
        <w:t>Von 27 Teilnehmern erhielten 8 visuelle Aids (29,6 %), 19 Standardgespräche (70,4 %). Mit visuellen Aids korrekte Stagingidentifikation 62,5 % vs. 42,1 %. Verbesserter Gedächtnisbericht 87,5 % (Aids) vs. 89,5 % (erwartet). Information Overload 37,5 % (Aids) vs. 73,7 % (Standardberatung).</w:t>
      </w:r>
    </w:p>
    <w:p>
      <w:r>
        <w:rPr>
          <w:b/>
          <w:sz w:val="19"/>
        </w:rPr>
        <w:t xml:space="preserve">Übertragbarkeit: </w:t>
      </w:r>
      <w:r>
        <w:rPr>
          <w:sz w:val="19"/>
        </w:rPr>
        <w:t>Irland (EU), Single-Center; kleine Stichprobe, aber konkrete Wirkung auf Verständnis und Überwältigung</w:t>
      </w:r>
    </w:p>
    <w:p>
      <w:r>
        <w:rPr>
          <w:color w:val="5A7D3A"/>
          <w:sz w:val="18"/>
        </w:rPr>
        <w:t>https://pubmed.ncbi.nlm.nih.gov/42937119/</w:t>
      </w:r>
    </w:p>
    <w:p>
      <w:pPr>
        <w:pStyle w:val="Heading2"/>
      </w:pPr>
      <w:r>
        <w:t>Kulturell angepasstes Maß für Shared Decision-Making mit Aborigines co-entwickelt</w:t>
      </w:r>
    </w:p>
    <w:p>
      <w:r>
        <w:rPr>
          <w:i/>
          <w:color w:val="666666"/>
          <w:sz w:val="18"/>
        </w:rPr>
        <w:t>Tracy M et al.  ·  Health Expect  ·  Dez. 2026  ·  PMID 42936994</w:t>
      </w:r>
    </w:p>
    <w:p>
      <w:r>
        <w:t>Hybrid-Yarning- und Delphi-Studie zur Entwicklung eines kulturell sicheren 12- und 5-Item-Maßes für Shared Decision-Making mit australischen Aboriginal- und Torres-Strait-Islander-Gemeinschaften.</w:t>
      </w:r>
    </w:p>
    <w:p>
      <w:r>
        <w:rPr>
          <w:b/>
        </w:rPr>
        <w:t xml:space="preserve">Ergebnis: </w:t>
      </w:r>
      <w:r>
        <w:t>18 von 26 eingeladenen Fachleuten und Gemeindemitgliedern nahmen an Yarning teil, 14 an beiden Delphi-Runden. Konsens erreicht für 12-Item-Maß mit allen Items umformuliert und 3 neue Items hinzugefügt; 5-Item-Kurzversion ebenfalls validiert.</w:t>
      </w:r>
    </w:p>
    <w:p>
      <w:r>
        <w:rPr>
          <w:b/>
          <w:sz w:val="19"/>
        </w:rPr>
        <w:t xml:space="preserve">Übertragbarkeit: </w:t>
      </w:r>
      <w:r>
        <w:rPr>
          <w:sz w:val="19"/>
        </w:rPr>
        <w:t>Australien, aber Methode (Yarning) kulturspezifisch; Konzept Shared Decision-Making universell übertragbar auf marginalisierte Gruppen</w:t>
      </w:r>
    </w:p>
    <w:p>
      <w:r>
        <w:rPr>
          <w:color w:val="5A7D3A"/>
          <w:sz w:val="18"/>
        </w:rPr>
        <w:t>https://pubmed.ncbi.nlm.nih.gov/42936994/</w:t>
      </w:r>
    </w:p>
    <w:p>
      <w:pPr>
        <w:pStyle w:val="Heading2"/>
      </w:pPr>
      <w:r>
        <w:t>Online-Gesundheitskommunikation fördert Gesundheit durch Kompetenz und Bildung</w:t>
      </w:r>
    </w:p>
    <w:p>
      <w:r>
        <w:rPr>
          <w:i/>
          <w:color w:val="666666"/>
          <w:sz w:val="18"/>
        </w:rPr>
        <w:t>Chen X et al.  ·  Front Public Health  ·  12.10.2026  ·  PMID 42936026</w:t>
      </w:r>
    </w:p>
    <w:p>
      <w:r>
        <w:t>Sekundäranalyse von 5.333 Datensätzen der 2023 China General Social Survey zur Kettenmediation von Health Literacy und digitaler Gesundheitsbildung.</w:t>
      </w:r>
    </w:p>
    <w:p>
      <w:r>
        <w:rPr>
          <w:b/>
        </w:rPr>
        <w:t xml:space="preserve">Ergebnis: </w:t>
      </w:r>
      <w:r>
        <w:t>Signifikante positive Gesamtassoziation zwischen Online-Gesundheitskommunikation und Gesundheitsförderung. Drei indirekte Pfade identifiziert: Ketteneffekt stärker in Stadt (vs. Land), bei Frauen (vs. Männer), am stärksten bei 31–60-Jährigen. Effekt bei niedriger Bildung schwächer. Bootstrap-Mediationsanalyse: alle Pfade mit KI ≠ Null.</w:t>
      </w:r>
    </w:p>
    <w:p>
      <w:r>
        <w:rPr>
          <w:b/>
          <w:sz w:val="19"/>
        </w:rPr>
        <w:t xml:space="preserve">Übertragbarkeit: </w:t>
      </w:r>
      <w:r>
        <w:rPr>
          <w:sz w:val="19"/>
        </w:rPr>
        <w:t>China, aber Pathmodell (Kommunikation→Kompetenz→Bildung→Verhalten) international gültig; Querschnitt, keine Kausalität</w:t>
      </w:r>
    </w:p>
    <w:p>
      <w:r>
        <w:rPr>
          <w:color w:val="5A7D3A"/>
          <w:sz w:val="18"/>
        </w:rPr>
        <w:t>https://pubmed.ncbi.nlm.nih.gov/42936026/</w:t>
      </w:r>
    </w:p>
    <w:p>
      <w:pPr>
        <w:pStyle w:val="Heading2"/>
      </w:pPr>
      <w:r>
        <w:t>Funktionale Gesundheitskompetenz hängt mit Reproduktionswissen bei schwangeren Frauen zusammen</w:t>
      </w:r>
    </w:p>
    <w:p>
      <w:r>
        <w:rPr>
          <w:i/>
          <w:color w:val="666666"/>
          <w:sz w:val="18"/>
        </w:rPr>
        <w:t>Karácsony I et al.  ·  Med Sci (Basel)  ·  21.10.2026  ·  PMID 42930611</w:t>
      </w:r>
    </w:p>
    <w:p>
      <w:r>
        <w:t>Querschnittsstudie zur Assoziation von objektiver funktionaler und subjektiver Gesundheitskompetenz mit Reproduktions- und Präkonzeptionswissen bei 346 schwangeren Frauen in Ungarn.</w:t>
      </w:r>
    </w:p>
    <w:p>
      <w:r>
        <w:rPr>
          <w:b/>
        </w:rPr>
        <w:t xml:space="preserve">Ergebnis: </w:t>
      </w:r>
      <w:r>
        <w:t>Objektive funktionale Gesundheitskompetenz war nach Adjustment signifikant mit dem Kompositum assoziiert (B=1,732; SE=0,553; β=0,271; p=0,001), subjektive nicht (B=0,244; p=0,227). Beide Maße zusammen erklärten 7,7 Prozentpunkte zusätzliche Varianz; Gesamtmodell 15,1 %.</w:t>
      </w:r>
    </w:p>
    <w:p>
      <w:r>
        <w:rPr>
          <w:b/>
          <w:sz w:val="19"/>
        </w:rPr>
        <w:t xml:space="preserve">Übertragbarkeit: </w:t>
      </w:r>
      <w:r>
        <w:rPr>
          <w:sz w:val="19"/>
        </w:rPr>
        <w:t>Ungarn (EU), vergleichbares Gesundheitssystem; Querschnitt, keine Interventionsergebnisse</w:t>
      </w:r>
    </w:p>
    <w:p>
      <w:r>
        <w:rPr>
          <w:color w:val="5A7D3A"/>
          <w:sz w:val="18"/>
        </w:rPr>
        <w:t>https://pubmed.ncbi.nlm.nih.gov/42930611/</w:t>
      </w:r>
    </w:p>
    <w:p>
      <w:pPr>
        <w:pStyle w:val="Heading2"/>
      </w:pPr>
      <w:r>
        <w:t>Choosing-Wisely-Items messen Shared Decision-Making-Wahrnehmung in Psychiatrie valide</w:t>
      </w:r>
    </w:p>
    <w:p>
      <w:r>
        <w:rPr>
          <w:i/>
          <w:color w:val="666666"/>
          <w:sz w:val="18"/>
        </w:rPr>
        <w:t>Bengtsson J et al.  ·  Int J Methods Psychiatr Res  ·  Dez. 2026  ·  PMID 42929188</w:t>
      </w:r>
    </w:p>
    <w:p>
      <w:r>
        <w:t>Psychometrische Validierungsstudie der schwedischen Choosing-Wisely-Fragen (CWQ) zur Messung von wahrgenommener Information über Medikation bei 666 psychiatrischen Patienten.</w:t>
      </w:r>
    </w:p>
    <w:p>
      <w:r>
        <w:rPr>
          <w:b/>
        </w:rPr>
        <w:t xml:space="preserve">Ergebnis: </w:t>
      </w:r>
      <w:r>
        <w:t>Einfaktorstruktur mit 53,8 % erklärter Varianz. CFA zeigte exzellente Passung (CFI=0,998; TLI=0,995; RMSEA=0,032). Interne Konsistenz gut (α=0,81, 95%-KI 0,79–0,83). Patienten berichteten mehr Information über Nutzen als über Risiken, Alternativen oder Verzicht (p&lt;0,001).</w:t>
      </w:r>
    </w:p>
    <w:p>
      <w:r>
        <w:rPr>
          <w:b/>
          <w:sz w:val="19"/>
        </w:rPr>
        <w:t xml:space="preserve">Übertragbarkeit: </w:t>
      </w:r>
      <w:r>
        <w:rPr>
          <w:sz w:val="19"/>
        </w:rPr>
        <w:t>Schweden (EU), vergleichbar mit DACH; misst Shared-Decision-Making-Wahrnehmung, nicht Verhalten</w:t>
      </w:r>
    </w:p>
    <w:p>
      <w:r>
        <w:rPr>
          <w:color w:val="5A7D3A"/>
          <w:sz w:val="18"/>
        </w:rPr>
        <w:t>https://pubmed.ncbi.nlm.nih.gov/42929188/</w:t>
      </w:r>
    </w:p>
    <w:p>
      <w:pPr>
        <w:pStyle w:val="Heading1"/>
      </w:pPr>
      <w:r>
        <w:t>Aufgenommen am 27.10.2026</w:t>
      </w:r>
    </w:p>
    <w:p>
      <w:pPr>
        <w:pStyle w:val="Heading2"/>
      </w:pPr>
      <w:r>
        <w:t>Theoriegeleitete Schulung zum Shared Decision-Making versetzt Pflegestudierende in die Lage, Patienten zu unterstützen</w:t>
      </w:r>
    </w:p>
    <w:p>
      <w:r>
        <w:rPr>
          <w:i/>
          <w:color w:val="666666"/>
          <w:sz w:val="18"/>
        </w:rPr>
        <w:t>Lewis KB et al.  ·  Int J Nurs Educ Scholarsh  ·  01.01.2026  ·  PMID 42931132</w:t>
      </w:r>
    </w:p>
    <w:p>
      <w:r>
        <w:t>Studie analysierte reflektive Notizen von Pflegestudierenden (n=34) nach einem Trainingsmodul zur Ottawa Decision Support Framework, um zu untersuchen, ob sie Shared Decision-Making in der Klinik anwenden konnten.</w:t>
      </w:r>
    </w:p>
    <w:p>
      <w:r>
        <w:rPr>
          <w:b/>
        </w:rPr>
        <w:t xml:space="preserve">Ergebnis: </w:t>
      </w:r>
      <w:r>
        <w:t>Studierende identifizierten typischerweise drei Kategorien von Entscheidungsproblemen (komplexe Merkmale n=26/76%, unzureichendes Wissen n=23/68%) und nannten Entscheidungshilfen als häufigste Intervention (n=27/79%). Sie erkannten Barrieren und Förderfaktoren auf Ebene der Studierenden, Patienten/Familie, Umgebung und Interventionen und konzeptualisierten Qualitätsentscheidungen als wertebasiert und/oder informiert.</w:t>
      </w:r>
    </w:p>
    <w:p>
      <w:r>
        <w:rPr>
          <w:b/>
          <w:sz w:val="19"/>
        </w:rPr>
        <w:t xml:space="preserve">Übertragbarkeit: </w:t>
      </w:r>
      <w:r>
        <w:rPr>
          <w:sz w:val="19"/>
        </w:rPr>
        <w:t>Kanada, aber Curriculum-Integration von SDM-Fähigkeiten international übertragbar; Rahmen auf deutsche Pflegeausbildung anwendbar.</w:t>
      </w:r>
    </w:p>
    <w:p>
      <w:r>
        <w:rPr>
          <w:color w:val="5A7D3A"/>
          <w:sz w:val="18"/>
        </w:rPr>
        <w:t>https://pubmed.ncbi.nlm.nih.gov/42931132/</w:t>
      </w:r>
    </w:p>
    <w:p>
      <w:pPr>
        <w:pStyle w:val="Heading2"/>
      </w:pPr>
      <w:r>
        <w:t>Mitgestaltete Sturzprävention-Schulung für ältere Menschen zu Hause erzielt hohe Verständlichkeit</w:t>
      </w:r>
    </w:p>
    <w:p>
      <w:r>
        <w:rPr>
          <w:i/>
          <w:color w:val="666666"/>
          <w:sz w:val="18"/>
        </w:rPr>
        <w:t>Francis-Coad J et al.  ·  Health Expect  ·  Okt. 2026  ·  PMID 42929459</w:t>
      </w:r>
    </w:p>
    <w:p>
      <w:r>
        <w:t>Studie nutzte Co-Design mit älteren Pflegekunden und Fachkräften (n=23), um ein Sturzpräventions-Schulungsprogramm zu überarbeiten und dann mit dem PEMAT-Fragebogen zu validieren.</w:t>
      </w:r>
    </w:p>
    <w:p>
      <w:r>
        <w:rPr>
          <w:b/>
        </w:rPr>
        <w:t xml:space="preserve">Ergebnis: </w:t>
      </w:r>
      <w:r>
        <w:t>Überarbeitete Ressourcen erzielten &gt;87,3% in beiden PEMAT-Dimensionen (Verständlichkeit und Handlungsbarkeit), was hoher Qualität entspricht. Konsumenten schätzten die einfache, klare Information und gaben an, dass visuelle Lernmittel gute Motivationshilfen waren, benötigten aber ästhetische und kulturelle Anpassungen.</w:t>
      </w:r>
    </w:p>
    <w:p>
      <w:r>
        <w:rPr>
          <w:b/>
          <w:sz w:val="19"/>
        </w:rPr>
        <w:t xml:space="preserve">Übertragbarkeit: </w:t>
      </w:r>
      <w:r>
        <w:rPr>
          <w:sz w:val="19"/>
        </w:rPr>
        <w:t>Australien, aber Methode und Zielgruppe (ältere Menschen, Homecare) auf Deutschland übertragbar.</w:t>
      </w:r>
    </w:p>
    <w:p>
      <w:r>
        <w:rPr>
          <w:color w:val="5A7D3A"/>
          <w:sz w:val="18"/>
        </w:rPr>
        <w:t>https://pubmed.ncbi.nlm.nih.gov/42929459/</w:t>
      </w:r>
    </w:p>
    <w:p>
      <w:pPr>
        <w:pStyle w:val="Heading2"/>
      </w:pPr>
      <w:r>
        <w:t>Ärztliche Empathie stärkt Shared Decision-Making und verbessert Diabetes-Selbstmanagement</w:t>
      </w:r>
    </w:p>
    <w:p>
      <w:r>
        <w:rPr>
          <w:i/>
          <w:color w:val="666666"/>
          <w:sz w:val="18"/>
        </w:rPr>
        <w:t>Peimani M et al.  ·  BMC Health Serv Res  ·  28.07.2026  ·  PMID 42928226</w:t>
      </w:r>
    </w:p>
    <w:p>
      <w:r>
        <w:t>Studie untersuchte, wie ärztliche Empathie die Wirkung von Arzt-Patient-Kommunikation auf Shared Decision-Making und damit auf Medikamentenadhärenz und Diabetes-Belastung beeinflusst (n=1.300 Erwachsene mit Diabetes).</w:t>
      </w:r>
    </w:p>
    <w:p>
      <w:r>
        <w:rPr>
          <w:b/>
        </w:rPr>
        <w:t xml:space="preserve">Ergebnis: </w:t>
      </w:r>
      <w:r>
        <w:t>Bei hoher Empathie verminderte sich die negative Wirkung von gehetzter Kommunikation auf die Adhärenz stärker (B=−0,83 vs. B=−1,13 bei niedriger Empathie); die positive Wirkung klarer Erklärungen auf Adhärenz war bei hoher Empathie höher (B=2,95 vs. B=1,35). Empathie moderierte signifikant alle indirekten Effekte über Shared Decision-Making (95%-KI schlossen Null aus).</w:t>
      </w:r>
    </w:p>
    <w:p>
      <w:r>
        <w:rPr>
          <w:b/>
          <w:sz w:val="19"/>
        </w:rPr>
        <w:t xml:space="preserve">Übertragbarkeit: </w:t>
      </w:r>
      <w:r>
        <w:rPr>
          <w:sz w:val="19"/>
        </w:rPr>
        <w:t>Iran, aber Befunde zu Empathie und SDM sind systemübergreifend relevant; Messinstrumente validiert.</w:t>
      </w:r>
    </w:p>
    <w:p>
      <w:r>
        <w:rPr>
          <w:color w:val="5A7D3A"/>
          <w:sz w:val="18"/>
        </w:rPr>
        <w:t>https://pubmed.ncbi.nlm.nih.gov/42928226/</w:t>
      </w:r>
    </w:p>
    <w:p>
      <w:pPr>
        <w:pStyle w:val="Heading2"/>
      </w:pPr>
      <w:r>
        <w:t>Mitgestaltete Gesundheitskommunikation für vulnerable Gruppen verbessert Verständlichkeit und Handlungsfähigkeit</w:t>
      </w:r>
    </w:p>
    <w:p>
      <w:r>
        <w:rPr>
          <w:i/>
          <w:color w:val="666666"/>
          <w:sz w:val="18"/>
        </w:rPr>
        <w:t>Martin AF et al.  ·  BMC Public Health  ·  29.07.2026  ·  PMID 42928169</w:t>
      </w:r>
    </w:p>
    <w:p>
      <w:r>
        <w:t>Studie entwickelte Infomaterialien zu invasiver Streptokokken-Infektion zusammen mit obdachlosen Menschen und Drogengebrauchern (n=39) und bewertete, ob die Materialien zugänglich, verständlich und handlungsrelevant waren.</w:t>
      </w:r>
    </w:p>
    <w:p>
      <w:r>
        <w:rPr>
          <w:b/>
        </w:rPr>
        <w:t xml:space="preserve">Ergebnis: </w:t>
      </w:r>
      <w:r>
        <w:t>32 von 39 Befragten bevorzugten das mitgestaltete Merkblatt gegenüber der Originalversion; dieses wurde als augenfälliger, leichter lesbar und personenzentriert bewertet, während das Original als wenig relevant empfunden wurde. Symptome wurden korrekt identifiziert und Befragte berichteten, dass sie dem Rat folgen würden.</w:t>
      </w:r>
    </w:p>
    <w:p>
      <w:r>
        <w:rPr>
          <w:b/>
          <w:sz w:val="19"/>
        </w:rPr>
        <w:t xml:space="preserve">Übertragbarkeit: </w:t>
      </w:r>
      <w:r>
        <w:rPr>
          <w:sz w:val="19"/>
        </w:rPr>
        <w:t>Großbritannien, Methode der Co-Production auf deutsche vulnerable Gruppen übertragbar; keine Sprachbarriere bei einfacher Gestaltung.</w:t>
      </w:r>
    </w:p>
    <w:p>
      <w:r>
        <w:rPr>
          <w:color w:val="5A7D3A"/>
          <w:sz w:val="18"/>
        </w:rPr>
        <w:t>https://pubmed.ncbi.nlm.nih.gov/42928169/</w:t>
      </w:r>
    </w:p>
    <w:p>
      <w:pPr>
        <w:pStyle w:val="Heading2"/>
      </w:pPr>
      <w:r>
        <w:t>Digitale psychoeducation mit menschlicher Unterstützung reduziert PTBS-Symptome, aber nur als Kombination wirksam</w:t>
      </w:r>
    </w:p>
    <w:p>
      <w:r>
        <w:rPr>
          <w:i/>
          <w:color w:val="666666"/>
          <w:sz w:val="18"/>
        </w:rPr>
        <w:t>Nizon D et al.  ·  Eur J Psychotraumatol  ·  23.10.2026  ·  PMID 42924444</w:t>
      </w:r>
    </w:p>
    <w:p>
      <w:r>
        <w:t>Systematische Übersicht von 26 RCTs (n=3.304 Erwachsene) zur Wirksamkeit von Psychoeducation bei PTBS, die verschiedene Formate und Vermittlungswege verglich.</w:t>
      </w:r>
    </w:p>
    <w:p>
      <w:r>
        <w:rPr>
          <w:b/>
        </w:rPr>
        <w:t xml:space="preserve">Ergebnis: </w:t>
      </w:r>
      <w:r>
        <w:t>9 von 26 Studien zeigten signifikante Reduktion der PTBS-Symptome durch Psychoeducation (1 präventiv, 8 nach Diagnose). Alle Studien mit signifikanten Effekten nutzten digitale Vermittlung mit menschlicher Anleitung. Gesamteffekte waren jedoch inkonsistent, methodische Qualität begrenzt. Weitere Verbesserungen in Stigmareduktion, Angst und Hilfesuchverhalten wurden berichtet. Fazit: Psychoeducation allein als Monotherapie unzureichend, aber wertvoll als Komponente in Stepped-Care-Ansätzen.</w:t>
      </w:r>
    </w:p>
    <w:p>
      <w:r>
        <w:rPr>
          <w:b/>
          <w:sz w:val="19"/>
        </w:rPr>
        <w:t xml:space="preserve">Übertragbarkeit: </w:t>
      </w:r>
      <w:r>
        <w:rPr>
          <w:sz w:val="19"/>
        </w:rPr>
        <w:t>Frankreich (Autorenaffiliation), aber Befunde zu digitaler Vermittlung mit Anleitung international relevant; Implementierungsempfehlung auf deutsches Gesundheitssystem übertragbar.</w:t>
      </w:r>
    </w:p>
    <w:p>
      <w:r>
        <w:rPr>
          <w:color w:val="5A7D3A"/>
          <w:sz w:val="18"/>
        </w:rPr>
        <w:t>https://pubmed.ncbi.nlm.nih.gov/42924444/</w:t>
      </w:r>
    </w:p>
    <w:p>
      <w:pPr>
        <w:pStyle w:val="Heading2"/>
      </w:pPr>
      <w:r>
        <w:t>Kurzes Health-Literacy-Screening-Tool zeigt altersabhängige Vorhersagekraft für Gesundheitsverhalten</w:t>
      </w:r>
    </w:p>
    <w:p>
      <w:r>
        <w:rPr>
          <w:i/>
          <w:color w:val="666666"/>
          <w:sz w:val="18"/>
        </w:rPr>
        <w:t>Kirbiš A et al.  ·  BMC Public Health  ·  07.10.2026  ·  PMID 42920137</w:t>
      </w:r>
    </w:p>
    <w:p>
      <w:r>
        <w:t>Studie validierte das 6-Item-HLS-EU-Q6-Fragebogen an 3.360 Slowenen verschiedener Altersgruppen (18–30, 31–64, 65+ Jahre) und prüfte seine Konstruktvalidität, interne Konsistenz und Vorhersagekraft für Gesundheitsverhalten.</w:t>
      </w:r>
    </w:p>
    <w:p>
      <w:r>
        <w:rPr>
          <w:b/>
        </w:rPr>
        <w:t xml:space="preserve">Ergebnis: </w:t>
      </w:r>
      <w:r>
        <w:t>Das Instrument zeigte befriedigende innere Konsistenz (Cronbachs α=0,76–0,84 über alle Gruppen). Diskriminant- und Konkurrenzvalidität wurden bestätigt (Korrelation mit HLS-EU-Q47: r=0,892). Vorhersagekraft für Gesundheitsverhalten war bei Erwachsenen und älteren Menschen stärker als bei Jugendlichen: Junge Erwachsene sagte nur Selbstbewertung voraus, Erwachsene und ältere Menschen auch Impfungseinstellungen (jeweils signifikant).</w:t>
      </w:r>
    </w:p>
    <w:p>
      <w:r>
        <w:rPr>
          <w:b/>
          <w:sz w:val="19"/>
        </w:rPr>
        <w:t xml:space="preserve">Übertragbarkeit: </w:t>
      </w:r>
      <w:r>
        <w:rPr>
          <w:sz w:val="19"/>
        </w:rPr>
        <w:t>Slowenien, EU-Mitglied; Fragebogen bereits in mehreren europäischen Ländern verwendet, direkt auf Deutschland anwendbar.</w:t>
      </w:r>
    </w:p>
    <w:p>
      <w:r>
        <w:rPr>
          <w:color w:val="5A7D3A"/>
          <w:sz w:val="18"/>
        </w:rPr>
        <w:t>https://pubmed.ncbi.nlm.nih.gov/42920137/</w:t>
      </w:r>
    </w:p>
    <w:p>
      <w:pPr>
        <w:pStyle w:val="Heading1"/>
      </w:pPr>
      <w:r>
        <w:t>Aufgenommen am 26.10.2026</w:t>
      </w:r>
    </w:p>
    <w:p>
      <w:pPr>
        <w:pStyle w:val="Heading2"/>
      </w:pPr>
      <w:r>
        <w:t>Gesundheitskompetenz in der Menopause: Lücken zwischen Individuum, Versorgung und Gesellschaft</w:t>
      </w:r>
    </w:p>
    <w:p>
      <w:r>
        <w:rPr>
          <w:i/>
          <w:color w:val="666666"/>
          <w:sz w:val="18"/>
        </w:rPr>
        <w:t>Pourshahrokhi N et al.  ·  Health Expect  ·  Okt. 2026  ·  PMID 42925072</w:t>
      </w:r>
    </w:p>
    <w:p>
      <w:r>
        <w:t>Qualitative Interviewstudie mit 22 Frauen und 10 Fachpersonen in Südiran zur Identifikation von Informationsbedarf, Barrieren und Facilitatoren der Menopausenkompetenz.</w:t>
      </w:r>
    </w:p>
    <w:p>
      <w:r>
        <w:rPr>
          <w:b/>
        </w:rPr>
        <w:t xml:space="preserve">Ergebnis: </w:t>
      </w:r>
      <w:r>
        <w:t>Menopause wird von Frauen als unerwarteter, multidimensionaler Übergang erlebt. Zentrale Lücken: Mangel an Aufklärung, Stigma, unzureichendes Engagement von Fachpersonen, Schwierigkeit beim Auffinden verlässlicher Quellen. Facilitatoren: symptomorientierte Strategien, Lifestyle-Änderung, Familie und Peer-Support.</w:t>
      </w:r>
    </w:p>
    <w:p>
      <w:r>
        <w:rPr>
          <w:b/>
          <w:sz w:val="19"/>
        </w:rPr>
        <w:t xml:space="preserve">Übertragbarkeit: </w:t>
      </w:r>
      <w:r>
        <w:rPr>
          <w:sz w:val="19"/>
        </w:rPr>
        <w:t>Iran; kulturelle Kontexte und Stigma beeinflussen; Empfehlungen (evidenzbasierte Bildung, barrierefreie Ressourcen) teilweise auf Deutschland übertragbar</w:t>
      </w:r>
    </w:p>
    <w:p>
      <w:r>
        <w:rPr>
          <w:color w:val="5A7D3A"/>
          <w:sz w:val="18"/>
        </w:rPr>
        <w:t>https://pubmed.ncbi.nlm.nih.gov/42925072/</w:t>
      </w:r>
    </w:p>
    <w:p>
      <w:pPr>
        <w:pStyle w:val="Heading2"/>
      </w:pPr>
      <w:r>
        <w:t>Patientenbeteiligung bei Post-Discharge-Kommunikation: Co-Design mit älteren Menschen</w:t>
      </w:r>
    </w:p>
    <w:p>
      <w:r>
        <w:rPr>
          <w:i/>
          <w:color w:val="666666"/>
          <w:sz w:val="18"/>
        </w:rPr>
        <w:t>Spencer RA et al.  ·  Health Expect  ·  Okt. 2026  ·  PMID 42925008</w:t>
      </w:r>
    </w:p>
    <w:p>
      <w:r>
        <w:t>Workshop mit 21 Teilnehmern (10 Patienten/Angehörige, 11 klinische Führungskräfte) nutzte Nominal Group Technique zur Erarbeitung von Empfehlungen für ein patientenzentriertes Entlassungsmanagement im NHS.</w:t>
      </w:r>
    </w:p>
    <w:p>
      <w:r>
        <w:rPr>
          <w:b/>
        </w:rPr>
        <w:t xml:space="preserve">Ergebnis: </w:t>
      </w:r>
      <w:r>
        <w:t>52 Aussagen generiert, 35 als akzeptabel und machbar bewertet. Höchste Priorität: Patientenautonomie, Transparenz, Einbeziehung ambulanter Fachkräfte. Vollständige Digitalisierung wurde als unangemessen erachtet. Das Verfahren (RAND/UCLA-Voting) bewährte sich für Mixed-PPI-Beteiligung.</w:t>
      </w:r>
    </w:p>
    <w:p>
      <w:r>
        <w:rPr>
          <w:b/>
          <w:sz w:val="19"/>
        </w:rPr>
        <w:t xml:space="preserve">Übertragbarkeit: </w:t>
      </w:r>
      <w:r>
        <w:rPr>
          <w:sz w:val="19"/>
        </w:rPr>
        <w:t>Großbritannien, NHS-Struktur; Gatekeeping-Modell nicht direkt auf deutsches freies Arztwahlsystem übertragbar</w:t>
      </w:r>
    </w:p>
    <w:p>
      <w:r>
        <w:rPr>
          <w:color w:val="5A7D3A"/>
          <w:sz w:val="18"/>
        </w:rPr>
        <w:t>https://pubmed.ncbi.nlm.nih.gov/42925008/</w:t>
      </w:r>
    </w:p>
    <w:p>
      <w:pPr>
        <w:pStyle w:val="Heading2"/>
      </w:pPr>
      <w:r>
        <w:t>Shared Decision Making mit Apothekern in der Primärversorgung: Patientenerfahrungen und Einflussfaktoren</w:t>
      </w:r>
    </w:p>
    <w:p>
      <w:r>
        <w:rPr>
          <w:i/>
          <w:color w:val="666666"/>
          <w:sz w:val="18"/>
        </w:rPr>
        <w:t>Loewen PS et al.  ·  Fam Pract  ·  06.10.2026  ·  PMID 42924607</w:t>
      </w:r>
    </w:p>
    <w:p>
      <w:r>
        <w:t>Querschnittsumfrage bei 604 Patienten der Pharmacists in Primary Care Network (PCN) in Kanada zu ihren Erfahrungen mit Shared Decision Making (SDM) mittels SDM-Q-9-Fragebogen.</w:t>
      </w:r>
    </w:p>
    <w:p>
      <w:r>
        <w:rPr>
          <w:b/>
        </w:rPr>
        <w:t xml:space="preserve">Ergebnis: </w:t>
      </w:r>
      <w:r>
        <w:t>Medianer SDM-Q-9-Score 77,8 (IQR 62,2–91,1), deutend auf moderately strong agreement mit SDM-Prozess. Demografische und klinische Faktoren erklärten 5% der Varianz, psychologische Faktoren (Erwartungen, Medikamentverständnis, Engagement-Motivation, Gesamterlebnis) erklärten 39% der Varianz. SDM-Erfahrung wurde von Patienten &lt;65 Jahren und bei Präsenzterminen höher bewertet.</w:t>
      </w:r>
    </w:p>
    <w:p>
      <w:r>
        <w:rPr>
          <w:b/>
          <w:sz w:val="19"/>
        </w:rPr>
        <w:t xml:space="preserve">Übertragbarkeit: </w:t>
      </w:r>
      <w:r>
        <w:rPr>
          <w:sz w:val="19"/>
        </w:rPr>
        <w:t>Kanada, ähnliches Gesundheitssystem; Apotheken-Rollen unterscheiden sich in Deutschland</w:t>
      </w:r>
    </w:p>
    <w:p>
      <w:r>
        <w:rPr>
          <w:color w:val="5A7D3A"/>
          <w:sz w:val="18"/>
        </w:rPr>
        <w:t>https://pubmed.ncbi.nlm.nih.gov/42924607/</w:t>
      </w:r>
    </w:p>
    <w:p>
      <w:pPr>
        <w:pStyle w:val="Heading2"/>
      </w:pPr>
      <w:r>
        <w:t>Patientenengagement in genetischer Onkologie-Beratung: Analyse von Gesprächsstrategien</w:t>
      </w:r>
    </w:p>
    <w:p>
      <w:r>
        <w:rPr>
          <w:i/>
          <w:color w:val="666666"/>
          <w:sz w:val="18"/>
        </w:rPr>
        <w:t>Lim T et al.  ·  J Genet Couns  ·  Okt. 2026  ·  PMID 42924565</w:t>
      </w:r>
    </w:p>
    <w:p>
      <w:r>
        <w:t>Conversation-Analyse von Videoaufnahmen genetischer Beratungsgespräche (Singapur) zur Identifikation von Kommunikationsstrategien, die Verständnis und psychosoziale Unterstützung fördern.</w:t>
      </w:r>
    </w:p>
    <w:p>
      <w:r>
        <w:rPr>
          <w:b/>
        </w:rPr>
        <w:t xml:space="preserve">Ergebnis: </w:t>
      </w:r>
      <w:r>
        <w:t>Offene Eröffnungsfragen führten zu reichhaltigeren, patientengesteuerten Narrativen; geschlossene Fragen beschränkten Antworten. Explizite Einladung zur Mitteilung von Sorgen oder reaktives Eingehen auf Offenbarungen persönlicher Umstände stärkten emotionale Unterstützung. Mikroanalyse zeigt Integration von Informationsvermittlung mit psychosozialer Unterstützung.</w:t>
      </w:r>
    </w:p>
    <w:p>
      <w:r>
        <w:rPr>
          <w:b/>
          <w:sz w:val="19"/>
        </w:rPr>
        <w:t xml:space="preserve">Übertragbarkeit: </w:t>
      </w:r>
      <w:r>
        <w:rPr>
          <w:sz w:val="19"/>
        </w:rPr>
        <w:t>Singapur; Gesprächstechniken zum Thema Verständnis und Beteiligung sind prinzipiell übertragbar</w:t>
      </w:r>
    </w:p>
    <w:p>
      <w:r>
        <w:rPr>
          <w:color w:val="5A7D3A"/>
          <w:sz w:val="18"/>
        </w:rPr>
        <w:t>https://pubmed.ncbi.nlm.nih.gov/42924565/</w:t>
      </w:r>
    </w:p>
    <w:p>
      <w:pPr>
        <w:pStyle w:val="Heading2"/>
      </w:pPr>
      <w:r>
        <w:t>Gesundheitskommunikation für Lebensstiländerung bei älteren Hypertoniker: Scoping-Review-Protokoll</w:t>
      </w:r>
    </w:p>
    <w:p>
      <w:r>
        <w:rPr>
          <w:i/>
          <w:color w:val="666666"/>
          <w:sz w:val="18"/>
        </w:rPr>
        <w:t>Ferreira R et al.  ·  J Eval Clin Pract  ·  Okt. 2026  ·  PMID 42912184</w:t>
      </w:r>
    </w:p>
    <w:p>
      <w:r>
        <w:t>Protokoll für systematische Scoping Review zu Gesundheitskommunikationsstrategien für Lebensstiländerungen bei Erwachsenen ≥65 Jahren mit Hypertonie.</w:t>
      </w:r>
    </w:p>
    <w:p>
      <w:r>
        <w:rPr>
          <w:b/>
        </w:rPr>
        <w:t xml:space="preserve">Ergebnis: </w:t>
      </w:r>
      <w:r>
        <w:t>Studie ist methodisches Protokoll ohne Ergebnisse. Geplante Analyse von Kommunikationsstrategien (allein oder kombiniert mit Pharmakotherapie) zur Förderung von Lebensstiländerungen, mit Erfassung von Barrieren und Facilitatoren.</w:t>
      </w:r>
    </w:p>
    <w:p>
      <w:r>
        <w:rPr>
          <w:b/>
          <w:sz w:val="19"/>
        </w:rPr>
        <w:t xml:space="preserve">Übertragbarkeit: </w:t>
      </w:r>
      <w:r>
        <w:rPr>
          <w:sz w:val="19"/>
        </w:rPr>
        <w:t>Protokoll ohne Ergebnisse; Ausschluss</w:t>
      </w:r>
    </w:p>
    <w:p>
      <w:r>
        <w:rPr>
          <w:color w:val="5A7D3A"/>
          <w:sz w:val="18"/>
        </w:rPr>
        <w:t>https://pubmed.ncbi.nlm.nih.gov/42912184/</w:t>
      </w:r>
    </w:p>
    <w:p>
      <w:pPr>
        <w:pStyle w:val="Heading2"/>
      </w:pPr>
      <w:r>
        <w:t>Ermöglichen YouTube-Videos informierte Entscheidungen zur Kniearthrose? Analyse deutschsprachiger Videos</w:t>
      </w:r>
    </w:p>
    <w:p>
      <w:r>
        <w:rPr>
          <w:i/>
          <w:color w:val="666666"/>
          <w:sz w:val="18"/>
        </w:rPr>
        <w:t>Zacher S et al.  ·  Z Evid Fortbild Qual Gesundhwes  ·  13.08.2026  ·  PMID 42586805</w:t>
      </w:r>
    </w:p>
    <w:p>
      <w:r>
        <w:t>Systematische Analyse von 79 deutschsprachigen YouTube-Videos zur Kniearthrose-Behandlung mittels MAPPinfo-Checkliste zur Bewertung der Qualität von Gesundheitsinformation.</w:t>
      </w:r>
    </w:p>
    <w:p>
      <w:r>
        <w:rPr>
          <w:b/>
        </w:rPr>
        <w:t xml:space="preserve">Ergebnis: </w:t>
      </w:r>
      <w:r>
        <w:t>79 Videos (50 Gesundheitsinformationsmaterialien analysiert). Mittlere Informationsqualität 15,4% (Spanne 5–25, SD 4,5); kein Material erfüllte alle Kriterien. Zertifizierte YouTube-Health-Videos zeigten keine bessere Qualität (15,4% vs. 15,3%). Von 37 Videos zu Knie-Arthroplastie: 20 omittierten Komplikationen, 16 omittierten Nutzen. Dimensionen Transparenz, Inhalt und Darstellung waren unzureichend.</w:t>
      </w:r>
    </w:p>
    <w:p>
      <w:r>
        <w:rPr>
          <w:b/>
          <w:sz w:val="19"/>
        </w:rPr>
        <w:t xml:space="preserve">Übertragbarkeit: </w:t>
      </w:r>
      <w:r>
        <w:rPr>
          <w:sz w:val="19"/>
        </w:rPr>
        <w:t>Deutschland, deutschsprachige Videos; direkt anwendbar auf deutsches Versorgungssystem und Patienten</w:t>
      </w:r>
    </w:p>
    <w:p>
      <w:r>
        <w:rPr>
          <w:color w:val="5A7D3A"/>
          <w:sz w:val="18"/>
        </w:rPr>
        <w:t>https://pubmed.ncbi.nlm.nih.gov/42586805/</w:t>
      </w:r>
    </w:p>
    <w:p>
      <w:pPr>
        <w:pStyle w:val="Heading1"/>
      </w:pPr>
      <w:r>
        <w:t>Aufgenommen am 25.10.2026</w:t>
      </w:r>
    </w:p>
    <w:p>
      <w:pPr>
        <w:pStyle w:val="Heading2"/>
      </w:pPr>
      <w:r>
        <w:t>Shared Decision-Making bei Stammzelltransplantation: Patientenperspektiven auf Entscheidungskomplexität</w:t>
      </w:r>
    </w:p>
    <w:p>
      <w:r>
        <w:rPr>
          <w:i/>
          <w:color w:val="666666"/>
          <w:sz w:val="18"/>
        </w:rPr>
        <w:t>Wu Q et al.  ·  Support Care Cancer  ·  23.10.2026  ·  PMID 42909656</w:t>
      </w:r>
    </w:p>
    <w:p>
      <w:r>
        <w:t>Systematische qualitative Übersicht von 20 Studien zu Patientenperspektiven bei der Entscheidung für Stammzelltransplantation; identifiziert vier zentrale Faktoren: eingeschränkte Wahlmöglichkeiten, relationale Entscheidungskontexte, finanzielle und logistische Hürden, Besorgnis um soziale Teilhabe.</w:t>
      </w:r>
    </w:p>
    <w:p>
      <w:r>
        <w:rPr>
          <w:b/>
        </w:rPr>
        <w:t xml:space="preserve">Ergebnis: </w:t>
      </w:r>
      <w:r>
        <w:t>Vier integrierte Befunde zeigen, dass Stammzelltransplantationsentscheidungen nicht nur von klinischen Risiken abhängen, sondern stark von Kontextfaktoren geprägt sind: Patienten erleben begrenzte Wahlmöglichkeiten, müssen Entscheidungen im familiären Kontext treffen, berichten finanzielle/logistische Barrieren und fürchten Einbußen sozialer Teilhabe. SDM-gestützte Entscheidungshilfen sollten daher über bloße Informationsvermittlung hinausgehen.</w:t>
      </w:r>
    </w:p>
    <w:p>
      <w:r>
        <w:rPr>
          <w:b/>
          <w:sz w:val="19"/>
        </w:rPr>
        <w:t xml:space="preserve">Übertragbarkeit: </w:t>
      </w:r>
      <w:r>
        <w:rPr>
          <w:sz w:val="19"/>
        </w:rPr>
        <w:t>China - Befunde zu Entscheidungskontexten systemübergreifend relevant</w:t>
      </w:r>
    </w:p>
    <w:p>
      <w:r>
        <w:rPr>
          <w:color w:val="5A7D3A"/>
          <w:sz w:val="18"/>
        </w:rPr>
        <w:t>https://pubmed.ncbi.nlm.nih.gov/42909656/</w:t>
      </w:r>
    </w:p>
    <w:p>
      <w:pPr>
        <w:pStyle w:val="Heading2"/>
      </w:pPr>
      <w:r>
        <w:t>Patient Activation bei Keratitis: Mikro-, Meso- und Makroebenen-Faktoren hemmen oder fördern Selbstmanagement</w:t>
      </w:r>
    </w:p>
    <w:p>
      <w:r>
        <w:rPr>
          <w:i/>
          <w:color w:val="666666"/>
          <w:sz w:val="18"/>
        </w:rPr>
        <w:t>Yu H et al.  ·  Front Public Health  ·  07.10.2026  ·  PMID 42909004</w:t>
      </w:r>
    </w:p>
    <w:p>
      <w:r>
        <w:t>Qualitative Studie mit 15 Patienten in China zu Barrieren und Förderern von Patient Activation bei infektiöser Keratitis über dreischichtige ökosystemische Perspektive (Individuum, Familie/Versorgung, Gesellschaft).</w:t>
      </w:r>
    </w:p>
    <w:p>
      <w:r>
        <w:rPr>
          <w:b/>
        </w:rPr>
        <w:t xml:space="preserve">Ergebnis: </w:t>
      </w:r>
      <w:r>
        <w:t>Drei Kategorien identifiziert: (1) Mikrosystem – Wahrnehmung und Verhaltensanpassungsprobleme unter Krankheitslast; (2) Mesosystem – Unterstützungs- und Spannungsfaktoren in Familie und Versorgung; (3) Makrosystem – Herausforderungen beim Aufbau sozialer Netzwerke. Patient Activation gehemmt durch individuelle, familiäre, Versorgungs- und Sozialfaktoren über alle Ebenen.</w:t>
      </w:r>
    </w:p>
    <w:p>
      <w:r>
        <w:rPr>
          <w:b/>
          <w:sz w:val="19"/>
        </w:rPr>
        <w:t xml:space="preserve">Übertragbarkeit: </w:t>
      </w:r>
      <w:r>
        <w:rPr>
          <w:sz w:val="19"/>
        </w:rPr>
        <w:t>China – Mehrebenen-Modell der Patientenaktivierung systemübergreifend relevant, sprachspezifische Anpassung nötig</w:t>
      </w:r>
    </w:p>
    <w:p>
      <w:r>
        <w:rPr>
          <w:color w:val="5A7D3A"/>
          <w:sz w:val="18"/>
        </w:rPr>
        <w:t>https://pubmed.ncbi.nlm.nih.gov/42909004/</w:t>
      </w:r>
    </w:p>
    <w:p>
      <w:pPr>
        <w:pStyle w:val="Heading2"/>
      </w:pPr>
      <w:r>
        <w:t>Adhärenz nach Schlaganfall vermittelt Effekt von Gesundheitskompetenz auf Lebensqualität</w:t>
      </w:r>
    </w:p>
    <w:p>
      <w:r>
        <w:rPr>
          <w:i/>
          <w:color w:val="666666"/>
          <w:sz w:val="18"/>
        </w:rPr>
        <w:t>Sun HJ et al.  ·  Front Public Health  ·  07.10.2026  ·  PMID 42908663</w:t>
      </w:r>
    </w:p>
    <w:p>
      <w:r>
        <w:t>Querschnittstudie mit 509 Schlaganfallpatienten in China zu indirekten Effekten von Health Literacy auf Lebensqualität über Adhärenz nach Entlassung.</w:t>
      </w:r>
    </w:p>
    <w:p>
      <w:r>
        <w:rPr>
          <w:b/>
        </w:rPr>
        <w:t xml:space="preserve">Ergebnis: </w:t>
      </w:r>
      <w:r>
        <w:t>Durchschnittliche Health Literacy 31,40 ± 6,78 (unterhalb Schwellwert). Health Literacy positiv korreliert mit Lebensqualität (r = 0,409, p &lt; 0,001) und Adhärenz (r = 0,223, p &lt; 0,001). Adhärenz positiv korreliert mit Lebensqualität (r = 0,461, p &lt; 0,001). Standardisierter indirekter Effekt durch Adhärenz = 0,087 (95%-KI 0,048–0,134), entspricht etwa 21,3 % der Gesamtassoziation – mediierende Wirkung von Adhärenz signifikant.</w:t>
      </w:r>
    </w:p>
    <w:p>
      <w:r>
        <w:rPr>
          <w:b/>
          <w:sz w:val="19"/>
        </w:rPr>
        <w:t xml:space="preserve">Übertragbarkeit: </w:t>
      </w:r>
      <w:r>
        <w:rPr>
          <w:sz w:val="19"/>
        </w:rPr>
        <w:t>China - Hinweis auf modifizierbare Faktoren bei älteren Schlaganfallpatienten, begrenzte Übertragbarkeit auf deutsches System</w:t>
      </w:r>
    </w:p>
    <w:p>
      <w:r>
        <w:rPr>
          <w:color w:val="5A7D3A"/>
          <w:sz w:val="18"/>
        </w:rPr>
        <w:t>https://pubmed.ncbi.nlm.nih.gov/42908663/</w:t>
      </w:r>
    </w:p>
    <w:p>
      <w:pPr>
        <w:pStyle w:val="Heading2"/>
      </w:pPr>
      <w:r>
        <w:t>Gesundheitskompetenz und Lebensqualität nach Brustkrebs: Alter und Bildung sind Schlüsselfaktoren</w:t>
      </w:r>
    </w:p>
    <w:p>
      <w:r>
        <w:rPr>
          <w:i/>
          <w:color w:val="666666"/>
          <w:sz w:val="18"/>
        </w:rPr>
        <w:t>Aslan SG et al.  ·  Support Care Cancer  ·  22.10.2026  ·  PMID 42907575</w:t>
      </w:r>
    </w:p>
    <w:p>
      <w:r>
        <w:t>Querschnittstudie mit 59 Frauen nach Brustkrebs-Operation zu Zusammenhängen zwischen Health Literacy, lymphödem-bezogener Lebensqualität und soziodemografischen Faktoren.</w:t>
      </w:r>
    </w:p>
    <w:p>
      <w:r>
        <w:rPr>
          <w:b/>
        </w:rPr>
        <w:t xml:space="preserve">Ergebnis: </w:t>
      </w:r>
      <w:r>
        <w:t>Health Literacy variierte erheblich: 11,9 % unzureichend, 27,1 % problematisch/begrenzt, 33,9 % ausreichend, 27,1 % exzellent. Höheres Alter assoziiert mit niedrigerem Health Literacy (OR = 0,916, 95%-KI 0,870–0,964; p &lt; 0,001), höhere Schulbildung mit höherem Health Literacy (OR = 1,498, 95%-KI 1,011–2,217; p = 0,044). Funktionale und psychosoziale Lebensqualität waren miteinander verknüpft.</w:t>
      </w:r>
    </w:p>
    <w:p>
      <w:r>
        <w:rPr>
          <w:b/>
          <w:sz w:val="19"/>
        </w:rPr>
        <w:t xml:space="preserve">Übertragbarkeit: </w:t>
      </w:r>
      <w:r>
        <w:rPr>
          <w:sz w:val="19"/>
        </w:rPr>
        <w:t>Türkei, vergleichbare Versorgungsstrukturen, Evidenz für zielgruppengerechte Schulung</w:t>
      </w:r>
    </w:p>
    <w:p>
      <w:r>
        <w:rPr>
          <w:color w:val="5A7D3A"/>
          <w:sz w:val="18"/>
        </w:rPr>
        <w:t>https://pubmed.ncbi.nlm.nih.gov/42907575/</w:t>
      </w:r>
    </w:p>
    <w:p>
      <w:pPr>
        <w:pStyle w:val="Heading2"/>
      </w:pPr>
      <w:r>
        <w:t>Audiovisuelle Schulungsmaterialien stärken Diabeteserziehung durch Pflegefachpersonen</w:t>
      </w:r>
    </w:p>
    <w:p>
      <w:r>
        <w:rPr>
          <w:i/>
          <w:color w:val="666666"/>
          <w:sz w:val="18"/>
        </w:rPr>
        <w:t>Kudoh R et al.  ·  PLoS One  ·  21.10.2026  ·  PMID 42905735</w:t>
      </w:r>
    </w:p>
    <w:p>
      <w:r>
        <w:t>Qualitative Studie mit acht zertifizierten Diabetes-Pflegefachpersonen zu Effekten eines audiovisuellen Materials auf ihre Patientenedukation zur Mundgesundheit; Datenanalyse mit Inhaltsanalyse.</w:t>
      </w:r>
    </w:p>
    <w:p>
      <w:r>
        <w:rPr>
          <w:b/>
        </w:rPr>
        <w:t xml:space="preserve">Ergebnis: </w:t>
      </w:r>
      <w:r>
        <w:t>Vier Hauptthemen emergiert: (1) Verbesserung individuellen Lernens (8/8 Teilnehmende), einschließlich verbessertes Wissen zur Zahngesundheit-Diabetes-Verbindung; (2) Förderung beruflicher Entwicklung und Reflexion (5/8); (3) neue Einsichten in Patientenversorgung (7/8), besonders Patient-Motivationsstrategien; (4) Implementierungsüberlegungen in Diabetes-Ambulanzen. Material als nützlich wahrgenommen, unterstützt Pflegefachpersonen-Lernziele und Edukationspraxis.</w:t>
      </w:r>
    </w:p>
    <w:p>
      <w:r>
        <w:rPr>
          <w:b/>
          <w:sz w:val="19"/>
        </w:rPr>
        <w:t xml:space="preserve">Übertragbarkeit: </w:t>
      </w:r>
      <w:r>
        <w:rPr>
          <w:sz w:val="19"/>
        </w:rPr>
        <w:t>Japan – audiovisuelle Schulung prinzipiell übertragbar, Wirkung auf Patientenverhalten nicht gemessen</w:t>
      </w:r>
    </w:p>
    <w:p>
      <w:r>
        <w:rPr>
          <w:color w:val="5A7D3A"/>
          <w:sz w:val="18"/>
        </w:rPr>
        <w:t>https://pubmed.ncbi.nlm.nih.gov/42905735/</w:t>
      </w:r>
    </w:p>
    <w:p>
      <w:pPr>
        <w:pStyle w:val="Heading2"/>
      </w:pPr>
      <w:r>
        <w:t>Patient Public Involvement verbessert Verständlichkeit von Wirtschaftlichkeitsstudien: Demenzbeispiel</w:t>
      </w:r>
    </w:p>
    <w:p>
      <w:r>
        <w:rPr>
          <w:i/>
          <w:color w:val="666666"/>
          <w:sz w:val="18"/>
        </w:rPr>
        <w:t>Eaglestone G et al.  ·  Appl Health Econ Health Policy  ·  20.07.2026  ·  PMID 42474961</w:t>
      </w:r>
    </w:p>
    <w:p>
      <w:r>
        <w:t>Methodologische Studie zur Rolle von Patient Public Involvement (PPI) bei der Entwicklung einer Befragung für ökonomische Evaluationen in der Demenzforschung; vier Personen mit Demenzerfahrung refinierten Fragebogendesign durch Onlinebesprechungen.</w:t>
      </w:r>
    </w:p>
    <w:p>
      <w:r>
        <w:rPr>
          <w:b/>
        </w:rPr>
        <w:t xml:space="preserve">Ergebnis: </w:t>
      </w:r>
      <w:r>
        <w:t>PPI-Beiträge führten zu bedeutsamen Verbesserungen: Terminologie vereinfacht, mehrdeutige/belastende Items entfernt, Gesamtnutzbarkeit erhöht. Kern-Empfehlung: Early und kollaboratives Einbeziehen von PPI-Beitragenden bereichert Relevanz und Sensibilität von Forschungsinstrumenten; Co-Design-Ansätze erfordern aber maßgeschneiderte Unterstützung und zugängliche Einführungen in ökonomische Konzepte.</w:t>
      </w:r>
    </w:p>
    <w:p>
      <w:r>
        <w:rPr>
          <w:b/>
          <w:sz w:val="19"/>
        </w:rPr>
        <w:t xml:space="preserve">Übertragbarkeit: </w:t>
      </w:r>
      <w:r>
        <w:rPr>
          <w:sz w:val="19"/>
        </w:rPr>
        <w:t>Großbritannien – Modell für PPI-Integration in deutschsprachige Forschungsentwicklung übertragbar</w:t>
      </w:r>
    </w:p>
    <w:p>
      <w:r>
        <w:rPr>
          <w:color w:val="5A7D3A"/>
          <w:sz w:val="18"/>
        </w:rPr>
        <w:t>https://pubmed.ncbi.nlm.nih.gov/42474961/</w:t>
      </w:r>
    </w:p>
    <w:p>
      <w:pPr>
        <w:pStyle w:val="Heading1"/>
      </w:pPr>
      <w:r>
        <w:t>Aufgenommen am 24.10.2026</w:t>
      </w:r>
    </w:p>
    <w:p>
      <w:pPr>
        <w:pStyle w:val="Heading2"/>
      </w:pPr>
      <w:r>
        <w:t>Strukturierte Mundhygiene-Schulung verbessert Zahngesundheit vor Tumorbestrahlung langfristig</w:t>
      </w:r>
    </w:p>
    <w:p>
      <w:r>
        <w:rPr>
          <w:i/>
          <w:color w:val="666666"/>
          <w:sz w:val="18"/>
        </w:rPr>
        <w:t>Sun C et al.  ·  BMC Oral Health  ·  28.07.2026  ·  PMID 42919312</w:t>
      </w:r>
    </w:p>
    <w:p>
      <w:r>
        <w:t>Zweiarmige Studie in China: 63 Patienten mit Kopf-Hals-Tumoren erhielten strukturierte Schulung (OHBCA) zu Mundhygiene vor Bestrahlung; 24 davon wurden 12 Monate nachbeobachtet und mit 19 Kontrollpatienten verglichen.</w:t>
      </w:r>
    </w:p>
    <w:p>
      <w:r>
        <w:rPr>
          <w:b/>
        </w:rPr>
        <w:t xml:space="preserve">Ergebnis: </w:t>
      </w:r>
      <w:r>
        <w:t>Phase 1: Schulung führte zu signifikanten Verbesserungen bei Wissen, Bewusstsein und Verhalten (alle p&lt;0,01). Phase 2 (12 Monate): Interventionsgruppe zeigte bessere Mundhygiene-Indizes (alle p&lt;0,0001) als Kontrolle, weniger Zahnbelag und Zahnfleischentzündung.</w:t>
      </w:r>
    </w:p>
    <w:p>
      <w:r>
        <w:rPr>
          <w:b/>
          <w:sz w:val="19"/>
        </w:rPr>
        <w:t xml:space="preserve">Übertragbarkeit: </w:t>
      </w:r>
      <w:r>
        <w:rPr>
          <w:sz w:val="19"/>
        </w:rPr>
        <w:t>China, aber Schulungsansatz zur Vermeidung strahlentherapiebedingter Zahnkomplikationen prinzipiell übertragbar.</w:t>
      </w:r>
    </w:p>
    <w:p>
      <w:r>
        <w:rPr>
          <w:color w:val="5A7D3A"/>
          <w:sz w:val="18"/>
        </w:rPr>
        <w:t>https://pubmed.ncbi.nlm.nih.gov/42919312/</w:t>
      </w:r>
    </w:p>
    <w:p>
      <w:pPr>
        <w:pStyle w:val="Heading2"/>
      </w:pPr>
      <w:r>
        <w:t>Strukturierte Schulung senkt Stürze bei älteren Patienten deutlich</w:t>
      </w:r>
    </w:p>
    <w:p>
      <w:r>
        <w:rPr>
          <w:i/>
          <w:color w:val="666666"/>
          <w:sz w:val="18"/>
        </w:rPr>
        <w:t>Kim E et al.  ·  BMC Geriatr  ·  27.07.2026  ·  PMID 42919133</w:t>
      </w:r>
    </w:p>
    <w:p>
      <w:r>
        <w:t>Quasi-experimentelle Studie zur Wirkung eines partizipativen fünftägigen Schulungsprogramms (APREAL) auf Sturzrisiken bei älteren Patienten in koreanischen Krankenhausstationen.</w:t>
      </w:r>
    </w:p>
    <w:p>
      <w:r>
        <w:rPr>
          <w:b/>
        </w:rPr>
        <w:t xml:space="preserve">Ergebnis: </w:t>
      </w:r>
      <w:r>
        <w:t>Die Interventionsgruppe zeigte nach der Schulung signifikant höhere Werte bei Sturzwissen (F=27,41, p&lt;0,001, η²=0,287), Selbstwirksamkeit (F=32,85, p&lt;0,001, η²=0,326) und Sturzprävention-Verhalten (F=93,14, p&lt;0,001, η²=0,578). Die Kontrollstation verzeichnete 2,3 Stürze pro 1.000 Patiententage, die Interventionsstation 0,0.</w:t>
      </w:r>
    </w:p>
    <w:p>
      <w:r>
        <w:rPr>
          <w:b/>
          <w:sz w:val="19"/>
        </w:rPr>
        <w:t xml:space="preserve">Übertragbarkeit: </w:t>
      </w:r>
      <w:r>
        <w:rPr>
          <w:sz w:val="19"/>
        </w:rPr>
        <w:t>Südkorea, aber Design und Schulungsformat lassen sich auf deutsche Krankenhausstationen übertragen.</w:t>
      </w:r>
    </w:p>
    <w:p>
      <w:r>
        <w:rPr>
          <w:color w:val="5A7D3A"/>
          <w:sz w:val="18"/>
        </w:rPr>
        <w:t>https://pubmed.ncbi.nlm.nih.gov/42919133/</w:t>
      </w:r>
    </w:p>
    <w:p>
      <w:pPr>
        <w:pStyle w:val="Heading2"/>
      </w:pPr>
      <w:r>
        <w:t>Informationsquellen beeinflussen Selbstwirksamkeit von Demenzpflegenden stärker als Wissen</w:t>
      </w:r>
    </w:p>
    <w:p>
      <w:r>
        <w:rPr>
          <w:i/>
          <w:color w:val="666666"/>
          <w:sz w:val="18"/>
        </w:rPr>
        <w:t>Goh YL et al.  ·  BMC Geriatr  ·  28.07.2026  ·  PMID 42919127</w:t>
      </w:r>
    </w:p>
    <w:p>
      <w:r>
        <w:t>Querschnittstudie mit 258 Angehörigen von Demenzkranken in Malaysia: Welche Informationsquellen und deren Kombinationen beeinflussen die Selbstwirksamkeit in der Pflegeverantwortung?</w:t>
      </w:r>
    </w:p>
    <w:p>
      <w:r>
        <w:rPr>
          <w:b/>
        </w:rPr>
        <w:t xml:space="preserve">Ergebnis: </w:t>
      </w:r>
      <w:r>
        <w:t>Nutzung mehrerer Informationsquellen erhöht Selbstwirksamkeit signifikant (erklärte Varianz 6,7% auf 12,6%, p&lt;0,05). Schriftliche Materialien und ärztliche Beratung steigerten Selbstwirksamkeit; Facebook und Selbsthilfegruppen wirkten sich negativ aus. Besonderheit: Vertrauen war kulturabhängig (Glaubenshaltung half Malayen mehr).</w:t>
      </w:r>
    </w:p>
    <w:p>
      <w:r>
        <w:rPr>
          <w:b/>
          <w:sz w:val="19"/>
        </w:rPr>
        <w:t xml:space="preserve">Übertragbarkeit: </w:t>
      </w:r>
      <w:r>
        <w:rPr>
          <w:sz w:val="19"/>
        </w:rPr>
        <w:t>Mittleres Einkommenland, aber Befund zu Qualität von Informationsquellen prinzipiell übertragbar.</w:t>
      </w:r>
    </w:p>
    <w:p>
      <w:r>
        <w:rPr>
          <w:color w:val="5A7D3A"/>
          <w:sz w:val="18"/>
        </w:rPr>
        <w:t>https://pubmed.ncbi.nlm.nih.gov/42919127/</w:t>
      </w:r>
    </w:p>
    <w:p>
      <w:pPr>
        <w:pStyle w:val="Heading2"/>
      </w:pPr>
      <w:r>
        <w:t>Mehrsprachige Schulungsmaterialien zu chronischen Erkrankungen sind verständlich und akzeptiert</w:t>
      </w:r>
    </w:p>
    <w:p>
      <w:r>
        <w:rPr>
          <w:i/>
          <w:color w:val="666666"/>
          <w:sz w:val="18"/>
        </w:rPr>
        <w:t>Lexius O et al.  ·  Rev Lat Am Enfermagem  ·  16.10.2026  ·  PMID 42912030</w:t>
      </w:r>
    </w:p>
    <w:p>
      <w:r>
        <w:t>Validierungsstudie eines Schulungsleitfadens in Kreolisch für haitianische Migranten in Brasilien: Inhalts- und semantische Validierung durch 17 Fachexperten und 30 Migranten.</w:t>
      </w:r>
    </w:p>
    <w:p>
      <w:r>
        <w:rPr>
          <w:b/>
        </w:rPr>
        <w:t xml:space="preserve">Ergebnis: </w:t>
      </w:r>
      <w:r>
        <w:t>Gesamter Konkordanzindex 0,91, SAM-Score 25,8 Punkte. Beide Validierungen bestätigen Eignung des Materials für Prävention und Selbstmanagement chronischer Erkrankungen bei Migranten. Hohe kulturelle und sprachliche Angemessenheit.</w:t>
      </w:r>
    </w:p>
    <w:p>
      <w:r>
        <w:rPr>
          <w:b/>
          <w:sz w:val="19"/>
        </w:rPr>
        <w:t xml:space="preserve">Übertragbarkeit: </w:t>
      </w:r>
      <w:r>
        <w:rPr>
          <w:sz w:val="19"/>
        </w:rPr>
        <w:t>Brasilien, aber Ansatz zur migrantengerechten Materialentwicklung mit Sprachangepassung auf Deutschland übertragbar.</w:t>
      </w:r>
    </w:p>
    <w:p>
      <w:r>
        <w:rPr>
          <w:color w:val="5A7D3A"/>
          <w:sz w:val="18"/>
        </w:rPr>
        <w:t>https://pubmed.ncbi.nlm.nih.gov/42912030/</w:t>
      </w:r>
    </w:p>
    <w:p>
      <w:pPr>
        <w:pStyle w:val="Heading2"/>
      </w:pPr>
      <w:r>
        <w:t>Gesundheitskompetenz in Erwachsenenbildung: Verständnis und Handeln korrelieren nur schwach</w:t>
      </w:r>
    </w:p>
    <w:p>
      <w:r>
        <w:rPr>
          <w:i/>
          <w:color w:val="666666"/>
          <w:sz w:val="18"/>
        </w:rPr>
        <w:t>Bazileva A et al.  ·  Front Public Health  ·  07.10.2026  ·  PMID 42908939</w:t>
      </w:r>
    </w:p>
    <w:p>
      <w:r>
        <w:t>Mixed-Methods-Studie in Lettland: 320 Erwachsene wurden online zu Gesundheitskompetenz befragt, 6 Experten interviewt – Welche Faktoren fördern Verständnis und praktische Anwendung von Gesundheitsinformation?</w:t>
      </w:r>
    </w:p>
    <w:p>
      <w:r>
        <w:rPr>
          <w:b/>
        </w:rPr>
        <w:t xml:space="preserve">Ergebnis: </w:t>
      </w:r>
      <w:r>
        <w:t>Moderate positive Korrelation zwischen Verständnis und Anwendung (τ=0,383, p&lt;0,001), zwischen Zugang und Verständnis (τ=0,428, p&lt;0,001). Familienstand signifikant für kritische Informationsbewertung (H(3)=10,45, p=0,015). Barrieren: Fragmentierung der Bildung, fehlende Motivation, Desinformation. Ein konzeptueller Rahmen für mehrstufige Interventionen wurde entwickelt.</w:t>
      </w:r>
    </w:p>
    <w:p>
      <w:r>
        <w:rPr>
          <w:b/>
          <w:sz w:val="19"/>
        </w:rPr>
        <w:t xml:space="preserve">Übertragbarkeit: </w:t>
      </w:r>
      <w:r>
        <w:rPr>
          <w:sz w:val="19"/>
        </w:rPr>
        <w:t>Lettland (EU), vergleichbare Gesundheitssystemaufgaben, Befunde zur Lücke zwischen Verständnis und Handeln relevant für Deutschland.</w:t>
      </w:r>
    </w:p>
    <w:p>
      <w:r>
        <w:rPr>
          <w:color w:val="5A7D3A"/>
          <w:sz w:val="18"/>
        </w:rPr>
        <w:t>https://pubmed.ncbi.nlm.nih.gov/42908939/</w:t>
      </w:r>
    </w:p>
    <w:p>
      <w:pPr>
        <w:pStyle w:val="Heading2"/>
      </w:pPr>
      <w:r>
        <w:t>Radiographen kommunizieren Strahlenrisiken oft unklar – Schulung und Materialien helfen</w:t>
      </w:r>
    </w:p>
    <w:p>
      <w:r>
        <w:rPr>
          <w:i/>
          <w:color w:val="666666"/>
          <w:sz w:val="18"/>
        </w:rPr>
        <w:t>Angaag NA et al.  ·  Radiography (Lond)  ·  10.10.2026  ·  PMID 42858546</w:t>
      </w:r>
    </w:p>
    <w:p>
      <w:r>
        <w:t>Scoping Review der Kommunikationspraktiken von Radiographen beim Aufklären über Strahlenrisiken in der Bildgebung: Welche Strategien funktionieren, welche Barrieren bestehen?</w:t>
      </w:r>
    </w:p>
    <w:p>
      <w:r>
        <w:rPr>
          <w:b/>
        </w:rPr>
        <w:t xml:space="preserve">Ergebnis: </w:t>
      </w:r>
      <w:r>
        <w:t>Radiographen nutzten überwiegend verbale, aktive oder passive Kommunikation. Hauptbarrieren: Angst vor Patientenangst, niedriges Wissen und Selbstvertrauen, unklare Rollenverteilung, fehlende Ressourcen. Empfohlen: standardisierte Protokolle, Radiographen-Fortbildung, interaktive Strategien und Patientenmaterialien.</w:t>
      </w:r>
    </w:p>
    <w:p>
      <w:r>
        <w:rPr>
          <w:b/>
          <w:sz w:val="19"/>
        </w:rPr>
        <w:t xml:space="preserve">Übertragbarkeit: </w:t>
      </w:r>
      <w:r>
        <w:rPr>
          <w:sz w:val="19"/>
        </w:rPr>
        <w:t>Überwiegend Studien aus Großbritannien und Australien; Befunde zu Kommunikationsbarrieren in der Medizin international relevant.</w:t>
      </w:r>
    </w:p>
    <w:p>
      <w:r>
        <w:rPr>
          <w:color w:val="5A7D3A"/>
          <w:sz w:val="18"/>
        </w:rPr>
        <w:t>https://pubmed.ncbi.nlm.nih.gov/42858546/</w:t>
      </w:r>
    </w:p>
    <w:p>
      <w:pPr>
        <w:pStyle w:val="Heading1"/>
      </w:pPr>
      <w:r>
        <w:t>Aufgenommen am 23.10.2026</w:t>
      </w:r>
    </w:p>
    <w:p>
      <w:pPr>
        <w:pStyle w:val="Heading2"/>
      </w:pPr>
      <w:r>
        <w:t>Shared Decision Making in der Gastroenterologie: Barrieren und Erfolgsfaktoren</w:t>
      </w:r>
    </w:p>
    <w:p>
      <w:r>
        <w:rPr>
          <w:i/>
          <w:color w:val="666666"/>
          <w:sz w:val="18"/>
        </w:rPr>
        <w:t>Schoefs E et al.  ·  BMC Health Serv Res  ·  05.10.2026  ·  PMID 42907825</w:t>
      </w:r>
    </w:p>
    <w:p>
      <w:r>
        <w:t>Qualitative Studie mit 15 IBD-Patienten, 11 Gastroenterologen und 12 Krankenpflegerinnen in Belgien zum Implementierungsstand von SDM bei chronisch-entzündlichen Darmerkrankungen.</w:t>
      </w:r>
    </w:p>
    <w:p>
      <w:r>
        <w:rPr>
          <w:b/>
        </w:rPr>
        <w:t xml:space="preserve">Ergebnis: </w:t>
      </w:r>
      <w:r>
        <w:t>Gastroenterologen berichten routinemäßige SDM-Umsetzung, Patienten jedoch erleben Inkonsistenzen bei emotionaler Unterstützung und Preferenzerkundung. IBD-Pflegekräfte werden als essenzielle Partner wahrgenommen. Hauptbarrieren: niedrige Health Literacy, mangelnde Kommunikation, Zeitmangel. Facilitators: klinischer Nutzen, verstärkte SDM-Schulung, Organisationswandel.</w:t>
      </w:r>
    </w:p>
    <w:p>
      <w:r>
        <w:rPr>
          <w:b/>
          <w:sz w:val="19"/>
        </w:rPr>
        <w:t xml:space="preserve">Übertragbarkeit: </w:t>
      </w:r>
      <w:r>
        <w:rPr>
          <w:sz w:val="19"/>
        </w:rPr>
        <w:t>Belgien, vergleichbarer europäischer Versicherungskontext, ähnliche Organisationsstrukturen</w:t>
      </w:r>
    </w:p>
    <w:p>
      <w:r>
        <w:rPr>
          <w:color w:val="5A7D3A"/>
          <w:sz w:val="18"/>
        </w:rPr>
        <w:t>https://pubmed.ncbi.nlm.nih.gov/42907825/</w:t>
      </w:r>
    </w:p>
    <w:p>
      <w:pPr>
        <w:pStyle w:val="Heading2"/>
      </w:pPr>
      <w:r>
        <w:t>Verständlichkeit von Elternschulung senkt mütterlichen Stress nach Frühgeburten</w:t>
      </w:r>
    </w:p>
    <w:p>
      <w:r>
        <w:rPr>
          <w:i/>
          <w:color w:val="666666"/>
          <w:sz w:val="18"/>
        </w:rPr>
        <w:t>Rahkar Farshi M et al.  ·  BMC Pregnancy Childbirth  ·  27.07.2026  ·  PMID 42907796</w:t>
      </w:r>
    </w:p>
    <w:p>
      <w:r>
        <w:t>Quasi-experimentelle Studie mit 90 Müttern von Frühgeborenen (Booklet n=30, Face-to-Face n=30, Routine n=30) verglich APIB-basierte Schulung zur Säuglingsverhaltensinterpretation auf Stress und Bindung.</w:t>
      </w:r>
    </w:p>
    <w:p>
      <w:r>
        <w:rPr>
          <w:b/>
        </w:rPr>
        <w:t xml:space="preserve">Ergebnis: </w:t>
      </w:r>
      <w:r>
        <w:t>Stress sank in allen Gruppen signifikant (p&lt;0,001). Nach Adjustierung zeigte Booklet-Gruppe signifikant niedrigeren Stress (MD=-6,09, p=0,004) und Face-to-Face-Gruppe (MD=-4,16, p=0,040) vs. Kontrolle. Attachment stieg in Interventionsgruppen, kein signifikanter Unterschied nach Adjustierung (F=0,94, p=0,394).</w:t>
      </w:r>
    </w:p>
    <w:p>
      <w:r>
        <w:rPr>
          <w:b/>
          <w:sz w:val="19"/>
        </w:rPr>
        <w:t xml:space="preserve">Übertragbarkeit: </w:t>
      </w:r>
      <w:r>
        <w:rPr>
          <w:sz w:val="19"/>
        </w:rPr>
        <w:t>Iran, aber Interventionsformat (APIB-Schulung) sprachunabhängig übertragbar auf NICU-Strukturen</w:t>
      </w:r>
    </w:p>
    <w:p>
      <w:r>
        <w:rPr>
          <w:color w:val="5A7D3A"/>
          <w:sz w:val="18"/>
        </w:rPr>
        <w:t>https://pubmed.ncbi.nlm.nih.gov/42907796/</w:t>
      </w:r>
    </w:p>
    <w:p>
      <w:pPr>
        <w:pStyle w:val="Heading2"/>
      </w:pPr>
      <w:r>
        <w:t>Verständliches Video-Training erhöht Wissen über Präeklampsie bei Schwangeren</w:t>
      </w:r>
    </w:p>
    <w:p>
      <w:r>
        <w:rPr>
          <w:i/>
          <w:color w:val="666666"/>
          <w:sz w:val="18"/>
        </w:rPr>
        <w:t>Alrehaili S et al.  ·  BMC Pregnancy Childbirth  ·  27.07.2026  ·  PMID 42907785</w:t>
      </w:r>
    </w:p>
    <w:p>
      <w:r>
        <w:t>Quasi-experimentelle Studie mit 100 schwangeren Frauen untersuchte, ob ein Educational Video das Verständnis über Präeklampsie-Symptome und -risiken steigert, gemessen mit 39-Item-Fragebogen.</w:t>
      </w:r>
    </w:p>
    <w:p>
      <w:r>
        <w:rPr>
          <w:b/>
        </w:rPr>
        <w:t xml:space="preserve">Ergebnis: </w:t>
      </w:r>
      <w:r>
        <w:t>Wissensscore prä-Intervention: 17,40±8,98, post-Intervention: 33,00±4,35, nach 2 Wochen: 31,89±4,73 (p&lt;0,001). Verdoppelung des Wissenspunkts durch Video, mit partieller Retention nach 2 Wochen.</w:t>
      </w:r>
    </w:p>
    <w:p>
      <w:r>
        <w:rPr>
          <w:b/>
          <w:sz w:val="19"/>
        </w:rPr>
        <w:t xml:space="preserve">Übertragbarkeit: </w:t>
      </w:r>
      <w:r>
        <w:rPr>
          <w:sz w:val="19"/>
        </w:rPr>
        <w:t>Saudi-Arabien, Video-Format kultur- und sprachabhängig, aber Prinzip verständlicher Prävention übertragbar</w:t>
      </w:r>
    </w:p>
    <w:p>
      <w:r>
        <w:rPr>
          <w:color w:val="5A7D3A"/>
          <w:sz w:val="18"/>
        </w:rPr>
        <w:t>https://pubmed.ncbi.nlm.nih.gov/42907785/</w:t>
      </w:r>
    </w:p>
    <w:p>
      <w:pPr>
        <w:pStyle w:val="Heading2"/>
      </w:pPr>
      <w:r>
        <w:t>Telefonische Schulung verbessert Anpassung nach Kolostomie und senkt Komplikationen</w:t>
      </w:r>
    </w:p>
    <w:p>
      <w:r>
        <w:rPr>
          <w:i/>
          <w:color w:val="666666"/>
          <w:sz w:val="18"/>
        </w:rPr>
        <w:t>Yurtseven Ş et al.  ·  Support Care Cancer  ·  22.10.2026  ·  PMID 42907685</w:t>
      </w:r>
    </w:p>
    <w:p>
      <w:r>
        <w:t>RCT mit Kolostomie-Patienten (Telefon-Schulung n=, Routine-Pflege n=) über 3 Monate zur Wirkung von strukturierter Pflege-Beratung auf Stoma-Anpassung und Komplikationsschweregrad.</w:t>
      </w:r>
    </w:p>
    <w:p>
      <w:r>
        <w:rPr>
          <w:b/>
        </w:rPr>
        <w:t xml:space="preserve">Ergebnis: </w:t>
      </w:r>
      <w:r>
        <w:t>Telefon-Gruppe zeigte nach 3 Monaten signifikant höhere Akzeptanz- und Gesamt-Anpassungswerte und signifikant niedrigere Komplikationsschweregrad-Werte vs. Kontrolle. Kein signifikanter Unterschied in Angstpreokupation, sozialer Engagement oder Wut.</w:t>
      </w:r>
    </w:p>
    <w:p>
      <w:r>
        <w:rPr>
          <w:b/>
          <w:sz w:val="19"/>
        </w:rPr>
        <w:t xml:space="preserve">Übertragbarkeit: </w:t>
      </w:r>
      <w:r>
        <w:rPr>
          <w:sz w:val="19"/>
        </w:rPr>
        <w:t>Türkei, Telemedizin-Format systemunabhängig, aber Kontinuität post-stationärer Versorgung zentral</w:t>
      </w:r>
    </w:p>
    <w:p>
      <w:r>
        <w:rPr>
          <w:color w:val="5A7D3A"/>
          <w:sz w:val="18"/>
        </w:rPr>
        <w:t>https://pubmed.ncbi.nlm.nih.gov/42907685/</w:t>
      </w:r>
    </w:p>
    <w:p>
      <w:pPr>
        <w:pStyle w:val="Heading2"/>
      </w:pPr>
      <w:r>
        <w:t>Multikomponenten-Interventionen erhöhen Teilnahme an Lungenkrebs-Screening deutlich</w:t>
      </w:r>
    </w:p>
    <w:p>
      <w:r>
        <w:rPr>
          <w:i/>
          <w:color w:val="666666"/>
          <w:sz w:val="18"/>
        </w:rPr>
        <w:t>Djuric O et al.  ·  Eur Respir Rev  ·  21.10.2026  ·  PMID 42906938</w:t>
      </w:r>
    </w:p>
    <w:p>
      <w:r>
        <w:t>Systematische Übersicht mit Metaanalyse von 14 abgeschlossenen Studien (2000–März 2023) zum Effekt von Aufklärung, SDM und Navigation auf LDCT-Screening-Uptake.</w:t>
      </w:r>
    </w:p>
    <w:p>
      <w:r>
        <w:rPr>
          <w:b/>
        </w:rPr>
        <w:t xml:space="preserve">Ergebnis: </w:t>
      </w:r>
      <w:r>
        <w:t>SDM+Navigation: OR 4,34 (95%-CI 2,50–7,54). Outreach+Navigation: OR 2,20 (95%-CI 1,70–2,84). Reine Aufklärung/Information: OR 1,03 (95%-CI 0,89–1,19, nicht signifikant). Multikomponenten-Interventionen: OR 2,64 (95%-CI 1,79–3,90) vs. Monokomponenten: OR 1,00 (95%-CI 0,87–1,14).</w:t>
      </w:r>
    </w:p>
    <w:p>
      <w:r>
        <w:rPr>
          <w:b/>
          <w:sz w:val="19"/>
        </w:rPr>
        <w:t xml:space="preserve">Übertragbarkeit: </w:t>
      </w:r>
      <w:r>
        <w:rPr>
          <w:sz w:val="19"/>
        </w:rPr>
        <w:t>Italien koordinierte Studie, europäische Versorgungskontexte, Screening-Systeme ähnlich Deutschland</w:t>
      </w:r>
    </w:p>
    <w:p>
      <w:r>
        <w:rPr>
          <w:color w:val="5A7D3A"/>
          <w:sz w:val="18"/>
        </w:rPr>
        <w:t>https://pubmed.ncbi.nlm.nih.gov/42906938/</w:t>
      </w:r>
    </w:p>
    <w:p>
      <w:pPr>
        <w:pStyle w:val="Heading2"/>
      </w:pPr>
      <w:r>
        <w:t>Gesundheitskompetenz und Stress beeinflussen Lebensqualität unterschiedlich je nach Krankheitslast</w:t>
      </w:r>
    </w:p>
    <w:p>
      <w:r>
        <w:rPr>
          <w:i/>
          <w:color w:val="666666"/>
          <w:sz w:val="18"/>
        </w:rPr>
        <w:t>Zhou J et al.  ·  Health Promot Int  ·  01.09.2026  ·  PMID 42904456</w:t>
      </w:r>
    </w:p>
    <w:p>
      <w:r>
        <w:t>Querschnittsstudie mit 3.716 finnischen Erwachsenen untersuchte pfadanalytisch, wie Health Literacy über wahrgenommenen Stress die gesundheitsbezogene Lebensqualität beeinflusst, stratifiziert nach Krankheitsbürde.</w:t>
      </w:r>
    </w:p>
    <w:p>
      <w:r>
        <w:rPr>
          <w:b/>
        </w:rPr>
        <w:t xml:space="preserve">Ergebnis: </w:t>
      </w:r>
      <w:r>
        <w:t>Höhere Health Literacy assoziiert mit niedrigerem wahrgenommenen Stress. Stress erklärt ca. 80 % der Gesamtassoziation zwischen Literacy und Lebensqualität (Pfadkoeffizient). Der Stress-Lebensqualität-Effekt war etwa doppelt so stark bei Personen mit mehreren chronischen Erkrankungen (hochsignifikant, p&lt;0,001) als ohne.</w:t>
      </w:r>
    </w:p>
    <w:p>
      <w:r>
        <w:rPr>
          <w:b/>
          <w:sz w:val="19"/>
        </w:rPr>
        <w:t xml:space="preserve">Übertragbarkeit: </w:t>
      </w:r>
      <w:r>
        <w:rPr>
          <w:sz w:val="19"/>
        </w:rPr>
        <w:t>Finnland, Sozialsicherungssystem vergleichbar mit Deutschland, bevölkerungsbasierte Kohortendaten</w:t>
      </w:r>
    </w:p>
    <w:p>
      <w:r>
        <w:rPr>
          <w:color w:val="5A7D3A"/>
          <w:sz w:val="18"/>
        </w:rPr>
        <w:t>https://pubmed.ncbi.nlm.nih.gov/42904456/</w:t>
      </w:r>
    </w:p>
    <w:p>
      <w:pPr>
        <w:pStyle w:val="Heading1"/>
      </w:pPr>
      <w:r>
        <w:t>Aufgenommen am 22.10.2026</w:t>
      </w:r>
    </w:p>
    <w:p>
      <w:pPr>
        <w:pStyle w:val="Heading2"/>
      </w:pPr>
      <w:r>
        <w:t>Psychische Gesundheitskompetenz bei Studierenden: Wissens- und Wissenslücken</w:t>
      </w:r>
    </w:p>
    <w:p>
      <w:r>
        <w:rPr>
          <w:i/>
          <w:color w:val="666666"/>
          <w:sz w:val="18"/>
        </w:rPr>
        <w:t>Muzungu G et al.  ·  BMC Public Health  ·  25.07.2026  ·  PMID 42902196</w:t>
      </w:r>
    </w:p>
    <w:p>
      <w:r>
        <w:t>Querschnittsstudie an 365 nicht-medizinischen Studierenden an der Universität Makerere, Uganda, zur psychischen Gesundheitskompetenz mit standardisiertem Fragebogen.</w:t>
      </w:r>
    </w:p>
    <w:p>
      <w:r>
        <w:rPr>
          <w:b/>
        </w:rPr>
        <w:t xml:space="preserve">Ergebnis: </w:t>
      </w:r>
      <w:r>
        <w:t>77,3% hatten moderate Kenntnisse zur psychischen Gesundheit, aber nur 12,3% hohe Gesundheitskompetenz; 37,8% positive Wahrnehmungen, 13,7% positive Einstellungen gegenüber Menschen mit psychischen Störungen. Assoziation mit weiblichem Geschlecht (aOR 0,422; p=0,014) und Vorgeschichte psychischer Störungen (aOR 2,485; p=0,012).</w:t>
      </w:r>
    </w:p>
    <w:p>
      <w:r>
        <w:rPr>
          <w:b/>
          <w:sz w:val="19"/>
        </w:rPr>
        <w:t xml:space="preserve">Übertragbarkeit: </w:t>
      </w:r>
      <w:r>
        <w:rPr>
          <w:sz w:val="19"/>
        </w:rPr>
        <w:t>Uganda-Setting; Befund zeigt Implementierungslücke bei Curriculumintegration, nicht auf deutsches System übertragbar</w:t>
      </w:r>
    </w:p>
    <w:p>
      <w:r>
        <w:rPr>
          <w:color w:val="5A7D3A"/>
          <w:sz w:val="18"/>
        </w:rPr>
        <w:t>https://pubmed.ncbi.nlm.nih.gov/42902196/</w:t>
      </w:r>
    </w:p>
    <w:p>
      <w:pPr>
        <w:pStyle w:val="Heading2"/>
      </w:pPr>
      <w:r>
        <w:t>Nurses als Gesundheitskompetenz-Lotsen in der KI-gestützten Triage</w:t>
      </w:r>
    </w:p>
    <w:p>
      <w:r>
        <w:rPr>
          <w:i/>
          <w:color w:val="666666"/>
          <w:sz w:val="18"/>
        </w:rPr>
        <w:t>Luo W et al.  ·  Front Public Health  ·  30.09.2026  ·  PMID 42876618</w:t>
      </w:r>
    </w:p>
    <w:p>
      <w:r>
        <w:t>Perspektivarbeit, die die Rolle von Pflegekräften in digitalen Triage-Systemen analysiert und ein Modell zur Vermittlung zwischen Algorithmen und Patientenverständnis entwickelt.</w:t>
      </w:r>
    </w:p>
    <w:p>
      <w:r>
        <w:rPr>
          <w:b/>
        </w:rPr>
        <w:t xml:space="preserve">Ergebnis: </w:t>
      </w:r>
      <w:r>
        <w:t>Vier Funktionen wurden identifiziert: Interpretation (Verständlichkeit von KI-Output), emotionale Kalibrierung, klinische Verifikation von Empfehlungen und Begleitung durch komplexe Versorgungspfade. Das Modell betont, dass Pflegekräfte nicht Validatoren von Maschinenoutput sein sollten, sondern Vermittler, die Sicherheit und Gesundheitsgleichheit wahren.</w:t>
      </w:r>
    </w:p>
    <w:p>
      <w:r>
        <w:rPr>
          <w:b/>
          <w:sz w:val="19"/>
        </w:rPr>
        <w:t xml:space="preserve">Übertragbarkeit: </w:t>
      </w:r>
      <w:r>
        <w:rPr>
          <w:sz w:val="19"/>
        </w:rPr>
        <w:t>China-Szenario, prinzipiell systemübergreifend relevant; Pflegerolle in Triagenetzwerken vergleichbar</w:t>
      </w:r>
    </w:p>
    <w:p>
      <w:r>
        <w:rPr>
          <w:color w:val="5A7D3A"/>
          <w:sz w:val="18"/>
        </w:rPr>
        <w:t>https://pubmed.ncbi.nlm.nih.gov/42876618/</w:t>
      </w:r>
    </w:p>
    <w:p>
      <w:pPr>
        <w:pStyle w:val="Heading2"/>
      </w:pPr>
      <w:r>
        <w:t>Psychoedukation in der psychiatrischen Pflege: Wachstum und Forschungslücken</w:t>
      </w:r>
    </w:p>
    <w:p>
      <w:r>
        <w:rPr>
          <w:i/>
          <w:color w:val="666666"/>
          <w:sz w:val="18"/>
        </w:rPr>
        <w:t>Durar E et al.  ·  Arch Psychiatr Nurs  ·  27.07.2026  ·  PMID 42863935</w:t>
      </w:r>
    </w:p>
    <w:p>
      <w:r>
        <w:t>Bibliometrische Analyse von 225 Publikationen (1998–2025) zur Psychoedukation in der psychiatrischen Pflege weltweit.</w:t>
      </w:r>
    </w:p>
    <w:p>
      <w:r>
        <w:rPr>
          <w:b/>
        </w:rPr>
        <w:t xml:space="preserve">Ergebnis: </w:t>
      </w:r>
      <w:r>
        <w:t>Jährliche Wachstumsrate 11%; 743 Autoren, durchschnittlich 12,8 Zitate pro Publikation. USA führt mit 22,2% der Publikationen, gefolgt von Türkei. Hauptfindung: Psychoedukation ist etabliert für Schizophrenie, Depression und bipolare Störung, aber Lücken bestehen bei Angehörigenschulung, Selbstmanagement und Programmen für Kinder/Jugendliche.</w:t>
      </w:r>
    </w:p>
    <w:p>
      <w:r>
        <w:rPr>
          <w:b/>
          <w:sz w:val="19"/>
        </w:rPr>
        <w:t xml:space="preserve">Übertragbarkeit: </w:t>
      </w:r>
      <w:r>
        <w:rPr>
          <w:sz w:val="19"/>
        </w:rPr>
        <w:t>Internationale Analyse; empirische Programme liegen vor, aber systematische Evaluierung im deutschsprachigen Raum fehlt</w:t>
      </w:r>
    </w:p>
    <w:p>
      <w:r>
        <w:rPr>
          <w:color w:val="5A7D3A"/>
          <w:sz w:val="18"/>
        </w:rPr>
        <w:t>https://pubmed.ncbi.nlm.nih.gov/42863935/</w:t>
      </w:r>
    </w:p>
    <w:p>
      <w:pPr>
        <w:pStyle w:val="Heading2"/>
      </w:pPr>
      <w:r>
        <w:t>Menstruelle Gesundheitskompetenz: Definitionen und Forschungsbedarf</w:t>
      </w:r>
    </w:p>
    <w:p>
      <w:r>
        <w:rPr>
          <w:i/>
          <w:color w:val="666666"/>
          <w:sz w:val="18"/>
        </w:rPr>
        <w:t>Chéileachair FN et al.  ·  Womens Health (Lond)  ·  07.10.2026  ·  PMID 42842352</w:t>
      </w:r>
    </w:p>
    <w:p>
      <w:r>
        <w:t>Kommentarbeitrag, der Inkonsistenzen in Definitionen und Messung von menstrueller Gesundheitskompetenz analysiert und einen konzeptionellen Rahmen entwickelt.</w:t>
      </w:r>
    </w:p>
    <w:p>
      <w:r>
        <w:rPr>
          <w:b/>
        </w:rPr>
        <w:t xml:space="preserve">Ergebnis: </w:t>
      </w:r>
      <w:r>
        <w:t>Zentrale Befunde: Keine Konsensdefinition für menstruelle Gesundheitskompetenz existiert, obwohl viele Studien Verbesserungen fordern; Lücken bestehen von Menarche bis Menopause; breite Stigmatisierung erschwert Kompetenzentwicklung. Empfehlung: Universelle Definition erforderlich, die strukturelle, individuelle und stigma-bezogene Dimensionen verbindet, um Forschung und Praxis zu leiten.</w:t>
      </w:r>
    </w:p>
    <w:p>
      <w:r>
        <w:rPr>
          <w:b/>
          <w:sz w:val="19"/>
        </w:rPr>
        <w:t xml:space="preserve">Übertragbarkeit: </w:t>
      </w:r>
      <w:r>
        <w:rPr>
          <w:sz w:val="19"/>
        </w:rPr>
        <w:t>Großbritannien-basiert; Konzept und Definitonslücke international relevant, kulturabhängig bei Stigma-Ebene</w:t>
      </w:r>
    </w:p>
    <w:p>
      <w:r>
        <w:rPr>
          <w:color w:val="5A7D3A"/>
          <w:sz w:val="18"/>
        </w:rPr>
        <w:t>https://pubmed.ncbi.nlm.nih.gov/42842352/</w:t>
      </w:r>
    </w:p>
    <w:p>
      <w:pPr>
        <w:pStyle w:val="Heading2"/>
      </w:pPr>
      <w:r>
        <w:t>Digitale Gesundheitskompetenz reduziert psychische Belastung durch besseren Schlaf</w:t>
      </w:r>
    </w:p>
    <w:p>
      <w:r>
        <w:rPr>
          <w:i/>
          <w:color w:val="666666"/>
          <w:sz w:val="18"/>
        </w:rPr>
        <w:t>Wang Z et al.  ·  Front Public Health  ·  21.09.2026  ·  PMID 42835181</w:t>
      </w:r>
    </w:p>
    <w:p>
      <w:r>
        <w:t>Quasiexperimentelle Studie an 407 Studierenden mit Mediationsmodell: digitale Gesundheitskompetenz → Internetabhängigkeit → Schlafqualität → psychische Gesundheit.</w:t>
      </w:r>
    </w:p>
    <w:p>
      <w:r>
        <w:rPr>
          <w:b/>
        </w:rPr>
        <w:t xml:space="preserve">Ergebnis: </w:t>
      </w:r>
      <w:r>
        <w:t>Positive Beziehung zwischen digitaler Gesundheitskompetenz und psychischer Gesundheit nachgewiesen. Indirekter Gesamteffekt über die Kette 0,6304; Internetabhängigkeit und Schlafqualität waren signifikante Mediatoren. Intervention durch Verbesserung digitaler Kompetenz könnte Schlafqualität und psychische Gesundheit verbessern.</w:t>
      </w:r>
    </w:p>
    <w:p>
      <w:r>
        <w:rPr>
          <w:b/>
          <w:sz w:val="19"/>
        </w:rPr>
        <w:t xml:space="preserve">Übertragbarkeit: </w:t>
      </w:r>
      <w:r>
        <w:rPr>
          <w:sz w:val="19"/>
        </w:rPr>
        <w:t>China-Setting, aber Mechanismus (Mediatorenmodell) systemunabhängig; digitale Kompetenz als Interventionsziel relevant</w:t>
      </w:r>
    </w:p>
    <w:p>
      <w:r>
        <w:rPr>
          <w:color w:val="5A7D3A"/>
          <w:sz w:val="18"/>
        </w:rPr>
        <w:t>https://pubmed.ncbi.nlm.nih.gov/42835181/</w:t>
      </w:r>
    </w:p>
    <w:p>
      <w:pPr>
        <w:pStyle w:val="Heading2"/>
      </w:pPr>
      <w:r>
        <w:t>Digitale Gesundheitskompetenz gegen Desinformation: Curriculare Agenda für Universitäten</w:t>
      </w:r>
    </w:p>
    <w:p>
      <w:r>
        <w:rPr>
          <w:i/>
          <w:color w:val="666666"/>
          <w:sz w:val="18"/>
        </w:rPr>
        <w:t>Hassan AM  ·  Front Public Health  ·  18.09.2026  ·  PMID 42827804</w:t>
      </w:r>
    </w:p>
    <w:p>
      <w:r>
        <w:t>Perspektivarbeit zur Verankerung digitaler Gesundheitskompetenz im höheren Bildungswesen Somalias als institutionelle Verantwortung und individuelle Kompetenz gegen Desinformation und KI-Risiken.</w:t>
      </w:r>
    </w:p>
    <w:p>
      <w:r>
        <w:rPr>
          <w:b/>
        </w:rPr>
        <w:t xml:space="preserve">Ergebnis: </w:t>
      </w:r>
      <w:r>
        <w:t>Implementierungsagenda mit fünf Säulen: kritische Informationsappraisal, Resilienz gegen Desinformation, verantwortungsvoller KI-Einsatz, Datenschutz, sichere Eskalation; unterstützt durch Curriculumintegration, institutionelle Informationspfade, lokal relevante Evaluierung und Kapazitätsaufbau bei Lehrenden. Empfehlung: Jenseits von Selbstbericht-Umfragen zu leistungsgestützten Aufgaben und Interventionsevaluierung übergehen.</w:t>
      </w:r>
    </w:p>
    <w:p>
      <w:r>
        <w:rPr>
          <w:b/>
          <w:sz w:val="19"/>
        </w:rPr>
        <w:t xml:space="preserve">Übertragbarkeit: </w:t>
      </w:r>
      <w:r>
        <w:rPr>
          <w:sz w:val="19"/>
        </w:rPr>
        <w:t>Somalia-Kontext schwach übertragbar; aber Rahmen für Curriculum und digitale Äquität prinzipiell relevant</w:t>
      </w:r>
    </w:p>
    <w:p>
      <w:r>
        <w:rPr>
          <w:color w:val="5A7D3A"/>
          <w:sz w:val="18"/>
        </w:rPr>
        <w:t>https://pubmed.ncbi.nlm.nih.gov/42827804/</w:t>
      </w:r>
    </w:p>
    <w:p>
      <w:pPr>
        <w:pStyle w:val="Heading2"/>
      </w:pPr>
      <w:r>
        <w:t>Verständlichkeit von KI-generierten Patienteninformationen: ChatGPT vs. DeepSeek</w:t>
      </w:r>
    </w:p>
    <w:p>
      <w:r>
        <w:rPr>
          <w:i/>
          <w:color w:val="666666"/>
          <w:sz w:val="18"/>
        </w:rPr>
        <w:t>Zhang R et al.  ·  Oral Surg Oral Med Oral Pathol Oral Radiol  ·  07.07.2026  ·  PMID 42823233</w:t>
      </w:r>
    </w:p>
    <w:p>
      <w:r>
        <w:t>Vergleichende Bewertung von Antworten zweier KI-Systeme (ChatGPT-4, DeepSeek-v3) auf 23 häufig gestellte Patientenfragen zu Lichen planus durch Expertenpanels in fünf Dimensionen.</w:t>
      </w:r>
    </w:p>
    <w:p>
      <w:r>
        <w:rPr>
          <w:b/>
        </w:rPr>
        <w:t xml:space="preserve">Ergebnis: </w:t>
      </w:r>
      <w:r>
        <w:t>DeepSeek-v3 überlegen bei Umfassendheit (4,65±0,37 vs. 4,04±0,54; p&lt;0,001), Logik (4,41±0,32 vs. 4,03±0,35; p&lt;0,001) und Fairness (4,34±0,33 vs. 4,03±0,27; p&lt;0,001); ChatGPT-4 besser bei Einfachheit (4,25±0,31 vs. 4,04±0,28; p=0,034). DeepSeek-v3 leicht überlegen bei Genauigkeit (4,49±0,38 vs. 4,22±0,34; p=0,025). Kombinieren beider Modelle könnte Patientenverständnis verbessern.</w:t>
      </w:r>
    </w:p>
    <w:p>
      <w:r>
        <w:rPr>
          <w:b/>
          <w:sz w:val="19"/>
        </w:rPr>
        <w:t xml:space="preserve">Übertragbarkeit: </w:t>
      </w:r>
      <w:r>
        <w:rPr>
          <w:sz w:val="19"/>
        </w:rPr>
        <w:t>Neuseeland-Studie, sprachunabhängiger Vergleich; Befund zu Verständlichkeit systemübergreifend relevant</w:t>
      </w:r>
    </w:p>
    <w:p>
      <w:r>
        <w:rPr>
          <w:color w:val="5A7D3A"/>
          <w:sz w:val="18"/>
        </w:rPr>
        <w:t>https://pubmed.ncbi.nlm.nih.gov/42823233/</w:t>
      </w:r>
    </w:p>
    <w:p>
      <w:pPr>
        <w:pStyle w:val="Heading1"/>
      </w:pPr>
      <w:r>
        <w:t>Aufgenommen am 21.10.2026</w:t>
      </w:r>
    </w:p>
    <w:p>
      <w:pPr>
        <w:pStyle w:val="Heading2"/>
      </w:pPr>
      <w:r>
        <w:t>Ernährungsschulung mit eiweißarmer Diät bremst Nierenerkrankung</w:t>
      </w:r>
    </w:p>
    <w:p>
      <w:r>
        <w:rPr>
          <w:i/>
          <w:color w:val="666666"/>
          <w:sz w:val="18"/>
        </w:rPr>
        <w:t>Cerón-Meza R et al.  ·  Rev Med Chil  ·  Aug. 2026  ·  PMID 42899611</w:t>
      </w:r>
    </w:p>
    <w:p>
      <w:r>
        <w:t>Narrative Übersicht von klinischen Studien (2015–2026) zur Wirkung von Ernährungsedukation und proteinarmer Diät auf Inzidenz und Progression chronischer Nierenerkrankungen in allen Stadien ohne Nierenersatztherapie.</w:t>
      </w:r>
    </w:p>
    <w:p>
      <w:r>
        <w:rPr>
          <w:b/>
        </w:rPr>
        <w:t xml:space="preserve">Ergebnis: </w:t>
      </w:r>
      <w:r>
        <w:t>Interventionen zur proteinarmen Ernährung verzögerten CKD-Progression, besonders in frühen Stadien, durch Reduktion stickstoffhaltiger Abbauprodukte. Jedes zusätzliche Gramm Protein war mit jährlichem GFR-Rückgang assoziiert. Strukturierte Ernährungsberatung mit kontinuierlicher Überwachung führte zu partieller Erhaltung der Nierenfunktion.</w:t>
      </w:r>
    </w:p>
    <w:p>
      <w:r>
        <w:rPr>
          <w:b/>
          <w:sz w:val="19"/>
        </w:rPr>
        <w:t xml:space="preserve">Übertragbarkeit: </w:t>
      </w:r>
      <w:r>
        <w:rPr>
          <w:sz w:val="19"/>
        </w:rPr>
        <w:t>Mexikanische Klinikdaten; Ernährungsberatung und Monitoring sind in deutschem Versorgungskontext etabliert</w:t>
      </w:r>
    </w:p>
    <w:p>
      <w:r>
        <w:rPr>
          <w:color w:val="5A7D3A"/>
          <w:sz w:val="18"/>
        </w:rPr>
        <w:t>https://pubmed.ncbi.nlm.nih.gov/42899611/</w:t>
      </w:r>
    </w:p>
    <w:p>
      <w:pPr>
        <w:pStyle w:val="Heading2"/>
      </w:pPr>
      <w:r>
        <w:t>Gesundheitskompetenz verbessert Lebensqualität bei Leberzirrhose unabhängig von Ernährung</w:t>
      </w:r>
    </w:p>
    <w:p>
      <w:r>
        <w:rPr>
          <w:i/>
          <w:color w:val="666666"/>
          <w:sz w:val="18"/>
        </w:rPr>
        <w:t>Liu Y et al.  ·  Front Public Health  ·  05.10.2026  ·  PMID 42898274</w:t>
      </w:r>
    </w:p>
    <w:p>
      <w:r>
        <w:t>Querschnittstudie an 202 Patienten mit dekompensierter Leberzirrhose zur Assoziation von Health Literacy, Ernährungsstatus und Lebensstilfaktoren mit gesundheitsbezogener Lebensqualität.</w:t>
      </w:r>
    </w:p>
    <w:p>
      <w:r>
        <w:rPr>
          <w:b/>
        </w:rPr>
        <w:t xml:space="preserve">Ergebnis: </w:t>
      </w:r>
      <w:r>
        <w:t>Health Literacy war unabhängig mit Lebensqualität assoziiert und erhöhte die Erklärungskraft des Modells signifikant (R²-Anstieg). Kommunikationsfähigkeit (B = −0,177, p = 0,007), körperliche Aktivität und Schlafqualität waren unabhängige Prädiktoren für die physische und psychische Dimension.</w:t>
      </w:r>
    </w:p>
    <w:p>
      <w:r>
        <w:rPr>
          <w:b/>
          <w:sz w:val="19"/>
        </w:rPr>
        <w:t xml:space="preserve">Übertragbarkeit: </w:t>
      </w:r>
      <w:r>
        <w:rPr>
          <w:sz w:val="19"/>
        </w:rPr>
        <w:t>Chinesische Klinikdaten; Beziehungen zwischen Health Literacy und Selbstmanagement sind systemübergreifend relevant</w:t>
      </w:r>
    </w:p>
    <w:p>
      <w:r>
        <w:rPr>
          <w:color w:val="5A7D3A"/>
          <w:sz w:val="18"/>
        </w:rPr>
        <w:t>https://pubmed.ncbi.nlm.nih.gov/42898274/</w:t>
      </w:r>
    </w:p>
    <w:p>
      <w:pPr>
        <w:pStyle w:val="Heading2"/>
      </w:pPr>
      <w:r>
        <w:t>Digitale Interventionen zur Gesundheitskompetenz in der EU: Mobile Apps und Entscheidungshilfen wirksam</w:t>
      </w:r>
    </w:p>
    <w:p>
      <w:r>
        <w:rPr>
          <w:i/>
          <w:color w:val="666666"/>
          <w:sz w:val="18"/>
        </w:rPr>
        <w:t>Šakare EA et al.  ·  BMC Public Health  ·  24.07.2026  ·  PMID 42897531</w:t>
      </w:r>
    </w:p>
    <w:p>
      <w:r>
        <w:t>Systematische Übersicht von 26 europäischen Studien (2018–2024) zur Wirkung digitaler Kommunikationsmittel auf Health Literacy, Wissen, Selbstwirksamkeit und Gesundheitsstatus.</w:t>
      </w:r>
    </w:p>
    <w:p>
      <w:r>
        <w:rPr>
          <w:b/>
        </w:rPr>
        <w:t xml:space="preserve">Ergebnis: </w:t>
      </w:r>
      <w:r>
        <w:t>Mobile Apps verbesserten Gesundheitsstatus mit andauernden Effekten; Entscheidungshilfen zeigten Potenzial zur Wissensverbesserung. Digitale Lerntools und Multimedia-Interventionen waren weitgehend unwirksam. Multi-Komponenten-Interventionen waren nicht wirksamer als Einzel-Interventionen. Personen mit niedrigerem sozioökonomischem Status profitierten gleichermaßen.</w:t>
      </w:r>
    </w:p>
    <w:p>
      <w:r>
        <w:rPr>
          <w:b/>
          <w:sz w:val="19"/>
        </w:rPr>
        <w:t xml:space="preserve">Übertragbarkeit: </w:t>
      </w:r>
      <w:r>
        <w:rPr>
          <w:sz w:val="19"/>
        </w:rPr>
        <w:t>EU-Daten, direkt auf deutsches Versicherungssystem übertragbar</w:t>
      </w:r>
    </w:p>
    <w:p>
      <w:r>
        <w:rPr>
          <w:color w:val="5A7D3A"/>
          <w:sz w:val="18"/>
        </w:rPr>
        <w:t>https://pubmed.ncbi.nlm.nih.gov/42897531/</w:t>
      </w:r>
    </w:p>
    <w:p>
      <w:pPr>
        <w:pStyle w:val="Heading2"/>
      </w:pPr>
      <w:r>
        <w:t>KI-gestützte Patientenschulung vor Magen-Darm-Operationen senkt Angst und verbessert eHealth-Literacy</w:t>
      </w:r>
    </w:p>
    <w:p>
      <w:r>
        <w:rPr>
          <w:i/>
          <w:color w:val="666666"/>
          <w:sz w:val="18"/>
        </w:rPr>
        <w:t>Liu L et al.  ·  Front Public Health  ·  30.09.2026  ·  PMID 42876704</w:t>
      </w:r>
    </w:p>
    <w:p>
      <w:r>
        <w:t>Protokoll einer randomisierten kontrollierten Studie mit 120 Patienten zur WeChat-basierten, von Expertenwissen kontrollierten KI-Schulungsintervention (3 Monate) gegen Standardberatung vor gastroenterologischen Eingriffen.</w:t>
      </w:r>
    </w:p>
    <w:p>
      <w:r>
        <w:rPr>
          <w:b/>
        </w:rPr>
        <w:t xml:space="preserve">Ergebnis: </w:t>
      </w:r>
      <w:r>
        <w:t>Primärer Endpunkt: Angst (Hospital Anxiety and Depression Scale-Angst). Sekundäre Endpunkte: Depression, wahrgenommene soziale Unterstützung, Selbstwirksamkeit, gesundheitsbezogene Lebensqualität und eHealth-Literacy. Outcome-Messung zu Baseline, Entlassung, 3 und 6 Monaten; Analyse nach Intention-to-treat.</w:t>
      </w:r>
    </w:p>
    <w:p>
      <w:r>
        <w:rPr>
          <w:b/>
          <w:sz w:val="19"/>
        </w:rPr>
        <w:t xml:space="preserve">Übertragbarkeit: </w:t>
      </w:r>
      <w:r>
        <w:rPr>
          <w:sz w:val="19"/>
        </w:rPr>
        <w:t>China – Patientenedukation digital; systemgebunden an WeChat-Infrastruktur; Konzept der Expertenkontrolle auf deutsche Plattformen adaptierbar</w:t>
      </w:r>
    </w:p>
    <w:p>
      <w:r>
        <w:rPr>
          <w:color w:val="5A7D3A"/>
          <w:sz w:val="18"/>
        </w:rPr>
        <w:t>https://pubmed.ncbi.nlm.nih.gov/42876704/</w:t>
      </w:r>
    </w:p>
    <w:p>
      <w:pPr>
        <w:pStyle w:val="Heading2"/>
      </w:pPr>
      <w:r>
        <w:t>Vorhersagemodell identifiziert Bevölkerungsgruppen mit niedriger Gesundheitskompetenz</w:t>
      </w:r>
    </w:p>
    <w:p>
      <w:r>
        <w:rPr>
          <w:i/>
          <w:color w:val="666666"/>
          <w:sz w:val="18"/>
        </w:rPr>
        <w:t>Zhang X et al.  ·  JMIR Med Inform  ·  13.10.2026  ·  PMID 42868277</w:t>
      </w:r>
    </w:p>
    <w:p>
      <w:r>
        <w:t>Entwicklung und externe Validierung eines Nomogramm-Modells zur Vorhersage niedriger Health Literacy in einer Bevölkerung von 56.340 Einwohnern (2023) und 2024-Validierungsdaten aus der chinesischen Provinz Zhejiang.</w:t>
      </w:r>
    </w:p>
    <w:p>
      <w:r>
        <w:rPr>
          <w:b/>
        </w:rPr>
        <w:t xml:space="preserve">Ergebnis: </w:t>
      </w:r>
      <w:r>
        <w:t>Nomogramm-Modelle zeigten robuste Stabilität: AUC 0,821 (intern) und 0,814 (extern validiert); Sensitivität und Spezifität &gt;60 % bzw. &gt;75 %. Fünf Kerndeterminanten identifiziert: Bildungsstand, Alter, Haushaltseinkommen, Rauchen und Beruf. Positiver und negativer prädiktiver Wert beide &gt;60 %.</w:t>
      </w:r>
    </w:p>
    <w:p>
      <w:r>
        <w:rPr>
          <w:b/>
          <w:sz w:val="19"/>
        </w:rPr>
        <w:t xml:space="preserve">Übertragbarkeit: </w:t>
      </w:r>
      <w:r>
        <w:rPr>
          <w:sz w:val="19"/>
        </w:rPr>
        <w:t>China – Faktor-Struktur (Bildung, Einkommen, Alter) international vergleichbar; deutsches System erfordert Validierung</w:t>
      </w:r>
    </w:p>
    <w:p>
      <w:r>
        <w:rPr>
          <w:color w:val="5A7D3A"/>
          <w:sz w:val="18"/>
        </w:rPr>
        <w:t>https://pubmed.ncbi.nlm.nih.gov/42868277/</w:t>
      </w:r>
    </w:p>
    <w:p>
      <w:pPr>
        <w:pStyle w:val="Heading2"/>
      </w:pPr>
      <w:r>
        <w:t>Therapeutische Patientenschulung stärkt Autonomie bei Borderline-Persönlichkeitsstörung</w:t>
      </w:r>
    </w:p>
    <w:p>
      <w:r>
        <w:rPr>
          <w:i/>
          <w:color w:val="666666"/>
          <w:sz w:val="18"/>
        </w:rPr>
        <w:t>Lefort-Picard M et al.  ·  Soins Psychiatr  ·  06.07.2026  ·  PMID 42476710</w:t>
      </w:r>
    </w:p>
    <w:p>
      <w:r>
        <w:t>Fünfjähriges Patientenbildungsprogramm (Programme d'Éducation Thérapeutique) am Centre Hospitalier du Rouvray für Personen mit Borderline-Persönlichkeitsstörung, basierend auf integrativer therapeutischer Herangehensweise.</w:t>
      </w:r>
    </w:p>
    <w:p>
      <w:r>
        <w:rPr>
          <w:b/>
        </w:rPr>
        <w:t xml:space="preserve">Ergebnis: </w:t>
      </w:r>
      <w:r>
        <w:t>Das Programm zielt auf Stärkung innerer Ressourcen und Autonomie zur Erleichterung der Reintegration in soziales, emotionales und berufliches Leben ab. Kernfaktoren: integrativer therapeutischer Ansatz, Fokus auf Empowerment und Selbstmanagement, langfristige Betreuung als Kontinuität.</w:t>
      </w:r>
    </w:p>
    <w:p>
      <w:r>
        <w:rPr>
          <w:b/>
          <w:sz w:val="19"/>
        </w:rPr>
        <w:t xml:space="preserve">Übertragbarkeit: </w:t>
      </w:r>
      <w:r>
        <w:rPr>
          <w:sz w:val="19"/>
        </w:rPr>
        <w:t>Frankreich – Psychische Erkrankung; ETP-Modell mit deutscher Tradition; Kernprinzipien auf deutsches System übertragbar</w:t>
      </w:r>
    </w:p>
    <w:p>
      <w:r>
        <w:rPr>
          <w:color w:val="5A7D3A"/>
          <w:sz w:val="18"/>
        </w:rPr>
        <w:t>https://pubmed.ncbi.nlm.nih.gov/42476710/</w:t>
      </w:r>
    </w:p>
    <w:p>
      <w:pPr>
        <w:pStyle w:val="Heading1"/>
      </w:pPr>
      <w:r>
        <w:t>Aufgenommen am 20.10.2026</w:t>
      </w:r>
    </w:p>
    <w:p>
      <w:pPr>
        <w:pStyle w:val="Heading2"/>
      </w:pPr>
      <w:r>
        <w:t>Risikokommunikation zu Elektromagnetfeldern: Information reduziert Angst bei vormals stark Besorgten</w:t>
      </w:r>
    </w:p>
    <w:p>
      <w:r>
        <w:rPr>
          <w:i/>
          <w:color w:val="666666"/>
          <w:sz w:val="18"/>
        </w:rPr>
        <w:t>Wen R et al.  ·  Bioelectromagnetics  ·  Okt. 2026  ·  PMID 42895297</w:t>
      </w:r>
    </w:p>
    <w:p>
      <w:r>
        <w:t>Studie zu psychologischen Faktoren bei Angst vor Radiofrequenzfeldern und Effekt von Informationen auf diese Angst; Mehrebenen-Modellierung zur Analyse von Zusammenhängen, Interventionsanalyse zur Prüfung der Wirkung von Informationsbereitstellung.</w:t>
      </w:r>
    </w:p>
    <w:p>
      <w:r>
        <w:rPr>
          <w:b/>
        </w:rPr>
        <w:t xml:space="preserve">Ergebnis: </w:t>
      </w:r>
      <w:r>
        <w:t>Subjektive Expositionswahrnehmung und Vertrauen in diese Wahrnehmung waren unabhängig mit Angst assoziiert. Höhere Sensibilisierung korrelierte mit stärkerer Angst, höheres Faktenwissen dagegen mit geringerer Angst. Informationen erhöhten Angst insgesamt, reduzierten sie jedoch bei initial hoher Besorgnis und beeinflussten Wahrnehmungen, Sensibilisierung und Wissen. Befund zeigt komplexe, nicht-lineare Wirkung von Information auf Angst.</w:t>
      </w:r>
    </w:p>
    <w:p>
      <w:r>
        <w:rPr>
          <w:b/>
          <w:sz w:val="19"/>
        </w:rPr>
        <w:t xml:space="preserve">Übertragbarkeit: </w:t>
      </w:r>
      <w:r>
        <w:rPr>
          <w:sz w:val="19"/>
        </w:rPr>
        <w:t>Japan; Befund zu komplexem Zusammenhang zwischen Wissen und Angst universell relevant</w:t>
      </w:r>
    </w:p>
    <w:p>
      <w:r>
        <w:rPr>
          <w:color w:val="5A7D3A"/>
          <w:sz w:val="18"/>
        </w:rPr>
        <w:t>https://pubmed.ncbi.nlm.nih.gov/42895297/</w:t>
      </w:r>
    </w:p>
    <w:p>
      <w:pPr>
        <w:pStyle w:val="Heading2"/>
      </w:pPr>
      <w:r>
        <w:t>Ernährungskompetenz fördert gesunde Essensgewohnheiten unabhängig von Bildungsstand</w:t>
      </w:r>
    </w:p>
    <w:p>
      <w:r>
        <w:rPr>
          <w:i/>
          <w:color w:val="666666"/>
          <w:sz w:val="18"/>
        </w:rPr>
        <w:t>Jáuregui A et al.  ·  J Hum Nutr Diet  ·  Okt. 2026  ·  PMID 42894392</w:t>
      </w:r>
    </w:p>
    <w:p>
      <w:r>
        <w:t>Studie mit 12.796 Erwachsenen aus Mexiko und USA, die den Zusammenhang zwischen funktionaler Ernährungskompetenz (gemessen an Verständnis von Nährwertkennzeichnungen) und gesundem Essverhalten untersucht.</w:t>
      </w:r>
    </w:p>
    <w:p>
      <w:r>
        <w:rPr>
          <w:b/>
        </w:rPr>
        <w:t xml:space="preserve">Ergebnis: </w:t>
      </w:r>
      <w:r>
        <w:t>Höhere Ernährungskompetenz war über alle Bevölkerungsgruppen hinweg mit verstärkten Bemühungen um gesunde Ernährung assoziiert (adjustierte Odds Ratios 1,07–2,73); Effekte waren bei mexikanischen Amerikanern und Mexikanern stärker (p&lt;0,008). Selbst mit niedrigerer Kompetenz zeigten 50–80% der Befragten Anstrengungen für bessere Ernährung, gegenüber nur 37–65% der weißen US-Amerikaner trotz höherer Kompetenz – Gesundheitskompetenz allein erklärt Verhalten nicht vollständig.</w:t>
      </w:r>
    </w:p>
    <w:p>
      <w:r>
        <w:rPr>
          <w:b/>
          <w:sz w:val="19"/>
        </w:rPr>
        <w:t xml:space="preserve">Übertragbarkeit: </w:t>
      </w:r>
      <w:r>
        <w:rPr>
          <w:sz w:val="19"/>
        </w:rPr>
        <w:t>Querschnittsstudie; Effekt der Nährwertkennzeichnung systemabhängig, aber Befund zu Kompetenz-Verhalten-Lücke universell übertragbar</w:t>
      </w:r>
    </w:p>
    <w:p>
      <w:r>
        <w:rPr>
          <w:color w:val="5A7D3A"/>
          <w:sz w:val="18"/>
        </w:rPr>
        <w:t>https://pubmed.ncbi.nlm.nih.gov/42894392/</w:t>
      </w:r>
    </w:p>
    <w:p>
      <w:pPr>
        <w:pStyle w:val="Heading2"/>
      </w:pPr>
      <w:r>
        <w:t>Sprachgesteuertes Edukations-Tool verbessert Wissen und Selbstmanagement nach Herzintervention im Alter</w:t>
      </w:r>
    </w:p>
    <w:p>
      <w:r>
        <w:rPr>
          <w:i/>
          <w:color w:val="666666"/>
          <w:sz w:val="18"/>
        </w:rPr>
        <w:t>Sun T et al.  ·  J Cardiothorac Surg  ·  22.07.2026  ·  PMID 42894236</w:t>
      </w:r>
    </w:p>
    <w:p>
      <w:r>
        <w:t>Cluster-randomisierte kontrollierte Studie mit 96 älteren Herzpatienten (49 Intervention, 47 Kontrolle): Vergleich einer sprachgesteuerten interaktiven Edukations-App gegenüber gedruckten Materialien.</w:t>
      </w:r>
    </w:p>
    <w:p>
      <w:r>
        <w:rPr>
          <w:b/>
        </w:rPr>
        <w:t xml:space="preserve">Ergebnis: </w:t>
      </w:r>
      <w:r>
        <w:t>Signifikante Interaktionseffekte für Herz-Erkrankungswissen (F=9,026; p&lt;0,001) und Selbstmanagement-Verhalten (F=11,607; p&lt;0,001). Nach 1, 3 und 6 Monaten zeigte die Interventionsgruppe signifikant höhere Wissens- und Verhaltensscores als Kontrolle (F=195,188; p&lt;0,001). Akzeptanzrating sehr hoch (96,04±2,61 Punkte). Wissen sank in beiden Gruppen über Zeit, aber Interventionsgruppe blieb deutlich höher.</w:t>
      </w:r>
    </w:p>
    <w:p>
      <w:r>
        <w:rPr>
          <w:b/>
          <w:sz w:val="19"/>
        </w:rPr>
        <w:t xml:space="preserve">Übertragbarkeit: </w:t>
      </w:r>
      <w:r>
        <w:rPr>
          <w:sz w:val="19"/>
        </w:rPr>
        <w:t>China; vergleichbare Altersstruktur und kardiovaskuläre Versorgung, aber App-Evaluation techniklastig</w:t>
      </w:r>
    </w:p>
    <w:p>
      <w:r>
        <w:rPr>
          <w:color w:val="5A7D3A"/>
          <w:sz w:val="18"/>
        </w:rPr>
        <w:t>https://pubmed.ncbi.nlm.nih.gov/42894236/</w:t>
      </w:r>
    </w:p>
    <w:p>
      <w:pPr>
        <w:pStyle w:val="Heading2"/>
      </w:pPr>
      <w:r>
        <w:t>Health-Literacy-Skala für psychisch Erkrankte in Brasilien validiert: Gute innere Konsistenz und Konstruktvalidität</w:t>
      </w:r>
    </w:p>
    <w:p>
      <w:r>
        <w:rPr>
          <w:i/>
          <w:color w:val="666666"/>
          <w:sz w:val="18"/>
        </w:rPr>
        <w:t>Barbosa MR et al.  ·  Rev Assoc Med Bras (1992)  ·  12.10.2026  ·  PMID 42879581</w:t>
      </w:r>
    </w:p>
    <w:p>
      <w:r>
        <w:t>Psychometrische Validierungsstudie der 14-Item Health Literacy Scale an 444 klinisch stabilen Patienten mit chronischen psychischen Störungen in Brasilien; Prüfung von Reliabilität, faktorieller Struktur und Divergenzvalidität.</w:t>
      </w:r>
    </w:p>
    <w:p>
      <w:r>
        <w:rPr>
          <w:b/>
        </w:rPr>
        <w:t xml:space="preserve">Ergebnis: </w:t>
      </w:r>
      <w:r>
        <w:t>Cronbachs Alpha 0,83 (95%-KI 0,78–0,88), McDonald-Omega 0,75 (95%-KI 0,68–0,83). Akzeptable Fit-Indizes: CFI 0,938, TLI 0,923, NFI 0,904. Divergenzvalidität bestätigt durch schwache Korrelationen (r&lt;0,300) mit Unterstützungsskala. Instrument zeigt adequates Profil zur Erfassung von Gesundheitskompetenz in drei Dimensionen (funktional, kommunikativ, kritisch) bei psychisch Erkrankten.</w:t>
      </w:r>
    </w:p>
    <w:p>
      <w:r>
        <w:rPr>
          <w:b/>
          <w:sz w:val="19"/>
        </w:rPr>
        <w:t xml:space="preserve">Übertragbarkeit: </w:t>
      </w:r>
      <w:r>
        <w:rPr>
          <w:sz w:val="19"/>
        </w:rPr>
        <w:t>Brasilien; psychologische Konstrukte kulturübergreifend, aber deutschsprachige Validierung erforderlich</w:t>
      </w:r>
    </w:p>
    <w:p>
      <w:r>
        <w:rPr>
          <w:color w:val="5A7D3A"/>
          <w:sz w:val="18"/>
        </w:rPr>
        <w:t>https://pubmed.ncbi.nlm.nih.gov/42879581/</w:t>
      </w:r>
    </w:p>
    <w:p>
      <w:pPr>
        <w:pStyle w:val="Heading2"/>
      </w:pPr>
      <w:r>
        <w:t>HIV-Prävention in Schulen: Community-Engagement-Ansatz erreicht 98% Testakzeptanz und senkt Stigma</w:t>
      </w:r>
    </w:p>
    <w:p>
      <w:r>
        <w:rPr>
          <w:i/>
          <w:color w:val="666666"/>
          <w:sz w:val="18"/>
        </w:rPr>
        <w:t>Beloumou Angong OEG et al.  ·  J Int Assoc Provid AIDS Care  ·  08.10.2026  ·  PMID 42849053</w:t>
      </w:r>
    </w:p>
    <w:p>
      <w:r>
        <w:t>Mixed-Methods-Studie 2019–2023 mit 1.203 Schülern und Lehrern aus 45 Orten in Kamerun; Einsatz des Risk Communication and Community Engagement (RCCE)-Rahmens zur HIV-Aufklärung mit Testteilnahme.</w:t>
      </w:r>
    </w:p>
    <w:p>
      <w:r>
        <w:rPr>
          <w:b/>
        </w:rPr>
        <w:t xml:space="preserve">Ergebnis: </w:t>
      </w:r>
      <w:r>
        <w:t>HIV-Test-Akzeptanzrate 98%, regional jedoch unterschiedlich (z. B. 88,9% in Fernen Norden; p&lt;0,0001). HIV-Seroprävalenz 1,4% (95%-KI 0,9–2,3%), höher in ländlichen Gebieten (2,6% vs. urban 0,9%; adjustierte OR 3,0; p=0,032). Höchste Seroprävalenz in der Altersgruppe 30–39 Jahre (6,7%; p=0,0004), persistent nach multivariater Analyse (p=0,003). RCCE-Ansatz förderte starke Community-Beteiligung und mediale Verbreitung evidenzbasierter Information; Befund unterstreicht Bedeutung lokalisierter Kommunikationsstrategien jenseits von Schulung allein.</w:t>
      </w:r>
    </w:p>
    <w:p>
      <w:r>
        <w:rPr>
          <w:b/>
          <w:sz w:val="19"/>
        </w:rPr>
        <w:t xml:space="preserve">Übertragbarkeit: </w:t>
      </w:r>
      <w:r>
        <w:rPr>
          <w:sz w:val="19"/>
        </w:rPr>
        <w:t>Kamerun (Subsahara), Ressourcenlimitierung; Befund zu Kommunikations-Effektivität übertragbar</w:t>
      </w:r>
    </w:p>
    <w:p>
      <w:r>
        <w:rPr>
          <w:color w:val="5A7D3A"/>
          <w:sz w:val="18"/>
        </w:rPr>
        <w:t>https://pubmed.ncbi.nlm.nih.gov/42849053/</w:t>
      </w:r>
    </w:p>
    <w:p>
      <w:pPr>
        <w:pStyle w:val="Heading2"/>
      </w:pPr>
      <w:r>
        <w:t>YouTube-Epilepsie-Videos: Nur 4,5% vermitteln korrekte Behandlungsinformation patientengerecht</w:t>
      </w:r>
    </w:p>
    <w:p>
      <w:r>
        <w:rPr>
          <w:i/>
          <w:color w:val="666666"/>
          <w:sz w:val="18"/>
        </w:rPr>
        <w:t>Elliott TS et al.  ·  JMIR Infodemiology  ·  30.09.2026  ·  PMID 42817079</w:t>
      </w:r>
    </w:p>
    <w:p>
      <w:r>
        <w:t>Analyse von 200 YouTube-Videos zu Anfallsclustern und Rettungsmedikation; Bewertung der Genauigkeit von Anfallsdefinition, FDA-genehmigter Behandlung und korrekter Medikamentendokumentation durch Expertenbewertung.</w:t>
      </w:r>
    </w:p>
    <w:p>
      <w:r>
        <w:rPr>
          <w:b/>
        </w:rPr>
        <w:t xml:space="preserve">Ergebnis: </w:t>
      </w:r>
      <w:r>
        <w:t>Nur 19,5% definierten Anfallscluster korrekt; 37,0% empfahlen FDA-genehmigte Rettungsmedikation, 37,5% nannten gar keine Therapie; 26,5% demonstrierten Medikamentengabe korrekt; nur 4,5% erfüllten alle Kriterien. Suche nach Handelsnamen erbrachte mehr relevante Videos als nach Fachbegriffen. Massive Informationslücke: 80,5% der Videos waren unvollständig oder fehlerhaft.</w:t>
      </w:r>
    </w:p>
    <w:p>
      <w:r>
        <w:rPr>
          <w:b/>
          <w:sz w:val="19"/>
        </w:rPr>
        <w:t xml:space="preserve">Übertragbarkeit: </w:t>
      </w:r>
      <w:r>
        <w:rPr>
          <w:sz w:val="19"/>
        </w:rPr>
        <w:t>USA, aber Befund zu Qualitätsdefiziten in Patient:innen-Videos universell übertragbar</w:t>
      </w:r>
    </w:p>
    <w:p>
      <w:r>
        <w:rPr>
          <w:color w:val="5A7D3A"/>
          <w:sz w:val="18"/>
        </w:rPr>
        <w:t>https://pubmed.ncbi.nlm.nih.gov/42817079/</w:t>
      </w:r>
    </w:p>
    <w:p>
      <w:pPr>
        <w:pStyle w:val="Heading1"/>
      </w:pPr>
      <w:r>
        <w:t>Aufgenommen am 19.10.2026</w:t>
      </w:r>
    </w:p>
    <w:p>
      <w:pPr>
        <w:pStyle w:val="Heading2"/>
      </w:pPr>
      <w:r>
        <w:t>Was Frauen mit Endometriose wissen müssen: Informationsbedarf und Lücken</w:t>
      </w:r>
    </w:p>
    <w:p>
      <w:r>
        <w:rPr>
          <w:i/>
          <w:color w:val="666666"/>
          <w:sz w:val="18"/>
        </w:rPr>
        <w:t>Senyel D et al.  ·  Womens Health (Lond)  ·  18.10.2026  ·  PMID 42893505</w:t>
      </w:r>
    </w:p>
    <w:p>
      <w:r>
        <w:t>Querschnittstudie (Mixed Methods) mit 265 australischen Frauen ≥18 Jahre mit diagnostizierter oder vermuteter Endometriose zu ihren Informationsbedürfnissen.</w:t>
      </w:r>
    </w:p>
    <w:p>
      <w:r>
        <w:rPr>
          <w:b/>
        </w:rPr>
        <w:t xml:space="preserve">Ergebnis: </w:t>
      </w:r>
      <w:r>
        <w:t>Stärkster Informationsbedarf zu: Komorbiditäten (76,98 % Zustimmung, n=204/265), spezialisierte Endometriose-Kliniken (75,85 %, n=179/236), Umgang mit Ablehnungserfahrungen durch Fachpersonen (75,54 %, n=176/233). Offen genannte Lücken: Pathogenese, alternative Therapien, Unterschiede zwischen öffentlichem und privatem Gesundheitswesen, Selbstvertretung. Unzureichende Unterstützung bei Entscheidungsfindung identifiziert.</w:t>
      </w:r>
    </w:p>
    <w:p>
      <w:r>
        <w:rPr>
          <w:b/>
          <w:sz w:val="19"/>
        </w:rPr>
        <w:t xml:space="preserve">Übertragbarkeit: </w:t>
      </w:r>
      <w:r>
        <w:rPr>
          <w:sz w:val="19"/>
        </w:rPr>
        <w:t>Australien vergleichbar Deutschland: Befunde zeigen Versorgungslücken und Handlungsbedarf für patientenzentrierte Informationsentwicklung.</w:t>
      </w:r>
    </w:p>
    <w:p>
      <w:r>
        <w:rPr>
          <w:color w:val="5A7D3A"/>
          <w:sz w:val="18"/>
        </w:rPr>
        <w:t>https://pubmed.ncbi.nlm.nih.gov/42893505/</w:t>
      </w:r>
    </w:p>
    <w:p>
      <w:pPr>
        <w:pStyle w:val="Heading2"/>
      </w:pPr>
      <w:r>
        <w:t>Geringe Gesundheitskompetenz bei chronischen Erkrankungen in Grönland: Handlungsbedarf für Gesundheitssystem</w:t>
      </w:r>
    </w:p>
    <w:p>
      <w:r>
        <w:rPr>
          <w:i/>
          <w:color w:val="666666"/>
          <w:sz w:val="18"/>
        </w:rPr>
        <w:t>Kjær F et al.  ·  Int J Circumpolar Health  ·  31.12.2026  ·  PMID 42891930</w:t>
      </w:r>
    </w:p>
    <w:p>
      <w:r>
        <w:t>Querschnittstudie mit 230 Personen mit chronischen Erkrankungen (Diabetes, COPD, Hypertonie, Adipositas, Asthma) in Grönland, die mit HLS19-Q12-Fragebogen (Kalaallisut und Dänisch) die Gesundheitskompetenz ermittelte.</w:t>
      </w:r>
    </w:p>
    <w:p>
      <w:r>
        <w:rPr>
          <w:b/>
        </w:rPr>
        <w:t xml:space="preserve">Ergebnis: </w:t>
      </w:r>
      <w:r>
        <w:t>82,2 % hatten unzureichende oder problematische Gesundheitskompetenz (32,2 % unzureichend, 50,0 % problematisch, 12,4 % ausreichend, 5,4 % hervorragend). Kalaallisut-Version zeigte gute interne Konsistenz (Cronbachs Alpha 0,88; 95%-KI: 0,78–0,93) und Test-Retest-Reliabilität (ICC 0,86; 95%-KI: 0,71–0,94). Dies unterstreicht hohen Interventionsbedarf.</w:t>
      </w:r>
    </w:p>
    <w:p>
      <w:r>
        <w:rPr>
          <w:b/>
          <w:sz w:val="19"/>
        </w:rPr>
        <w:t xml:space="preserve">Übertragbarkeit: </w:t>
      </w:r>
      <w:r>
        <w:rPr>
          <w:sz w:val="19"/>
        </w:rPr>
        <w:t>Grönland, vergleichbare nordeuropäische Sozialversicherung; Befunde für indigene Bevölkerungen weltweit relevant.</w:t>
      </w:r>
    </w:p>
    <w:p>
      <w:r>
        <w:rPr>
          <w:color w:val="5A7D3A"/>
          <w:sz w:val="18"/>
        </w:rPr>
        <w:t>https://pubmed.ncbi.nlm.nih.gov/42891930/</w:t>
      </w:r>
    </w:p>
    <w:p>
      <w:pPr>
        <w:pStyle w:val="Heading2"/>
      </w:pPr>
      <w:r>
        <w:t>Niedriges Digital Health Literacy erhöht Risiko für problematische Social-Media-Nutzung</w:t>
      </w:r>
    </w:p>
    <w:p>
      <w:r>
        <w:rPr>
          <w:i/>
          <w:color w:val="666666"/>
          <w:sz w:val="18"/>
        </w:rPr>
        <w:t>Shahat KA  ·  Front Public Health  ·  02.10.2026  ·  PMID 42890596</w:t>
      </w:r>
    </w:p>
    <w:p>
      <w:r>
        <w:t>Querschnittstudie mit 330 saudischen Schülern (13–18 Jahre, 170 männlich, 160 weiblich) zu Zusammenhang zwischen Digital Health Literacy (DHLI), problematischer Social-Media-Nutzung (Bergen Scale) und psychischer Belastung (DASS-21).</w:t>
      </w:r>
    </w:p>
    <w:p>
      <w:r>
        <w:rPr>
          <w:b/>
        </w:rPr>
        <w:t xml:space="preserve">Ergebnis: </w:t>
      </w:r>
      <w:r>
        <w:t>Prävalenz problematischer Social-Media-Nutzung 34,8 % (95%-KI: 29,7–40,2 %), höher bei Mädchen (41,9 %) als Jungen (28,2 %, p=0,009). Niedriges Digital Health Literacy unabhängig mit problematischer Nutzung assoziiert (aOR 2,79; 95%-KI: 1,70–4,58; p&lt;0,001). Problematische Nutzer hatten höhere Depression (14,1±5,5 vs. 8,6±4,2; p&lt;0,001), Angst (12,7±5,0 vs. 7,8±3,9; p&lt;0,001) und Stress (15,5±5,7 vs. 10,0±4,6; p&lt;0,001).</w:t>
      </w:r>
    </w:p>
    <w:p>
      <w:r>
        <w:rPr>
          <w:b/>
          <w:sz w:val="19"/>
        </w:rPr>
        <w:t xml:space="preserve">Übertragbarkeit: </w:t>
      </w:r>
      <w:r>
        <w:rPr>
          <w:sz w:val="19"/>
        </w:rPr>
        <w:t>Saudi-Arabien: Befunde zur Rolle von Digital Health Literacy bei Jugendlichen; Schulinterventionen sollten Schwerpunkt sein.</w:t>
      </w:r>
    </w:p>
    <w:p>
      <w:r>
        <w:rPr>
          <w:color w:val="5A7D3A"/>
          <w:sz w:val="18"/>
        </w:rPr>
        <w:t>https://pubmed.ncbi.nlm.nih.gov/42890596/</w:t>
      </w:r>
    </w:p>
    <w:p>
      <w:pPr>
        <w:pStyle w:val="Heading2"/>
      </w:pPr>
      <w:r>
        <w:t>Messinstrumente für Planetare Gesundheitskompetenz: Qualitätsmängel und Forschungslücken</w:t>
      </w:r>
    </w:p>
    <w:p>
      <w:r>
        <w:rPr>
          <w:i/>
          <w:color w:val="666666"/>
          <w:sz w:val="18"/>
        </w:rPr>
        <w:t>Reismann L et al.  ·  Health Qual Life Outcomes  ·  16.10.2026  ·  PMID 42888415</w:t>
      </w:r>
    </w:p>
    <w:p>
      <w:r>
        <w:t>Systematische Übersicht nach COSMIN-Kriterien über vier Studien zu drei Instrumenten (CCHLS, CCDL, SFLS), die Umwelt-Gesundheits-Literalität messen.</w:t>
      </w:r>
    </w:p>
    <w:p>
      <w:r>
        <w:rPr>
          <w:b/>
        </w:rPr>
        <w:t xml:space="preserve">Ergebnis: </w:t>
      </w:r>
      <w:r>
        <w:t>Sustainable Food Literacy Scale zeigte beste Ergebnisse mit sehr guter Evidenzqualität im Original, türkische Adaptation hatte niedrige methodische Qualität. Alle Instrumente zeigten niedrige oder sehr niedrige Evidenz für Entwicklung und Inhaltsvalidität. Kerndefizite: unklare Konstruktdefinition, geringe Einbeziehung von Zielgruppen in Entwicklung, Fokus auf Wissen statt komplexer Health Literacy.</w:t>
      </w:r>
    </w:p>
    <w:p>
      <w:r>
        <w:rPr>
          <w:b/>
          <w:sz w:val="19"/>
        </w:rPr>
        <w:t xml:space="preserve">Übertragbarkeit: </w:t>
      </w:r>
      <w:r>
        <w:rPr>
          <w:sz w:val="19"/>
        </w:rPr>
        <w:t>Deutschland und Europa: Befunde zeigen Standardisierungsbedarf für Umwelt-Gesundheits-Kompetenzmessungen.</w:t>
      </w:r>
    </w:p>
    <w:p>
      <w:r>
        <w:rPr>
          <w:color w:val="5A7D3A"/>
          <w:sz w:val="18"/>
        </w:rPr>
        <w:t>https://pubmed.ncbi.nlm.nih.gov/42888415/</w:t>
      </w:r>
    </w:p>
    <w:p>
      <w:pPr>
        <w:pStyle w:val="Heading2"/>
      </w:pPr>
      <w:r>
        <w:t>Wie junge Erwachsene Online-Ernährungsinformation bewerten: Kritische Kriterien und Grenzen</w:t>
      </w:r>
    </w:p>
    <w:p>
      <w:r>
        <w:rPr>
          <w:i/>
          <w:color w:val="666666"/>
          <w:sz w:val="18"/>
        </w:rPr>
        <w:t>Rozmiarek M  ·  Nutrients  ·  25.09.2026  ·  PMID 42884616</w:t>
      </w:r>
    </w:p>
    <w:p>
      <w:r>
        <w:t>Qualitative Fokusgruppenstudie mit 17 Tourismus- und Freizeitstudierenden (9 Frauen, 8 Männer, 21–23 Jahre) zu Wahrnehmung, Bewertung und kritischem Urteil über Online-Ernährungsinformation.</w:t>
      </w:r>
    </w:p>
    <w:p>
      <w:r>
        <w:rPr>
          <w:b/>
        </w:rPr>
        <w:t xml:space="preserve">Ergebnis: </w:t>
      </w:r>
      <w:r>
        <w:t>Vier Hauptthemen identifiziert: (1) Online-Information wahrgenommen als zugänglich und einflussreich, aber verbunden mit Informationsüberfluss, widersprüchlichen Empfehlungen und vereinfachten Erklärungen; (2) Bewertung nutzte Kriterien: Quellenexpertise, Konsistenz über Quellen hinweg, realistische Erwartungen, Erklärungsqualität, soziales Feedback; (3) Social-Media-Influencer als Inspirationsquelle, professionelle Quellen für kritische Entscheidungen; (4) Hochschulausbildung unterstützte kritisches Denken, aber Grenzen der Ernährungsexpertise erkannt.</w:t>
      </w:r>
    </w:p>
    <w:p>
      <w:r>
        <w:rPr>
          <w:b/>
          <w:sz w:val="19"/>
        </w:rPr>
        <w:t xml:space="preserve">Übertragbarkeit: </w:t>
      </w:r>
      <w:r>
        <w:rPr>
          <w:sz w:val="19"/>
        </w:rPr>
        <w:t>Polen und Deutschland: Befunde zeigen Notwendigkeit, Digital Nutrition Literacy in Hochschul-Curricula zu integrieren.</w:t>
      </w:r>
    </w:p>
    <w:p>
      <w:r>
        <w:rPr>
          <w:color w:val="5A7D3A"/>
          <w:sz w:val="18"/>
        </w:rPr>
        <w:t>https://pubmed.ncbi.nlm.nih.gov/42884616/</w:t>
      </w:r>
    </w:p>
    <w:p>
      <w:pPr>
        <w:pStyle w:val="Heading2"/>
      </w:pPr>
      <w:r>
        <w:t>Therapeutische Patientenedukation verbessert Therapieadhärenz und Selbstmanagement bei Tuberkulose</w:t>
      </w:r>
    </w:p>
    <w:p>
      <w:r>
        <w:rPr>
          <w:i/>
          <w:color w:val="666666"/>
          <w:sz w:val="18"/>
        </w:rPr>
        <w:t>Perriot J et al.  ·  Rev Med Liege  ·  Okt. 2026  ·  PMID 42861535</w:t>
      </w:r>
    </w:p>
    <w:p>
      <w:r>
        <w:t>Narrative Übersicht zu therapeutischer Edukation bei Tuberkulose-Patienten (latente und aktive Form), einschließlich ihrer Rolle für Verständnis, Adhärenz und Stigma-Bekämpfung.</w:t>
      </w:r>
    </w:p>
    <w:p>
      <w:r>
        <w:rPr>
          <w:b/>
        </w:rPr>
        <w:t xml:space="preserve">Ergebnis: </w:t>
      </w:r>
      <w:r>
        <w:t>Therapeutische Edukation (Patient Therapeutic Education – ETP) zielt darauf, Selbstmanagement-Kompetenzen, Autonomie und Lebensqualität zu stärken. Adressiert Verständnisprobleme durch lange Behandlungsprotokolle, Nebenwirkungen und psychosoziale Faktoren. Strukturierte, kontinuierliche, multidisziplinäre, patientenzentrierte Strategie ist wesentlicher Hebel zur Optimierung von Behandlungsergebnissen und Bekämpfung der Tuberkulose.</w:t>
      </w:r>
    </w:p>
    <w:p>
      <w:r>
        <w:rPr>
          <w:b/>
          <w:sz w:val="19"/>
        </w:rPr>
        <w:t xml:space="preserve">Übertragbarkeit: </w:t>
      </w:r>
      <w:r>
        <w:rPr>
          <w:sz w:val="19"/>
        </w:rPr>
        <w:t>Belgien und Frankreich, vergleichbare Versicherungssysteme; Befunde zu Edukation und Adhärenz auf Deutschland übertragbar.</w:t>
      </w:r>
    </w:p>
    <w:p>
      <w:r>
        <w:rPr>
          <w:color w:val="5A7D3A"/>
          <w:sz w:val="18"/>
        </w:rPr>
        <w:t>https://pubmed.ncbi.nlm.nih.gov/42861535/</w:t>
      </w:r>
    </w:p>
    <w:p>
      <w:pPr>
        <w:pStyle w:val="Heading1"/>
      </w:pPr>
      <w:r>
        <w:t>Aufgenommen am 18.10.2026</w:t>
      </w:r>
    </w:p>
    <w:p>
      <w:pPr>
        <w:pStyle w:val="Heading2"/>
      </w:pPr>
      <w:r>
        <w:t>Bildung und Gesundheitskompetenz: Starker Gradient bei Umweltrisiken</w:t>
      </w:r>
    </w:p>
    <w:p>
      <w:r>
        <w:rPr>
          <w:i/>
          <w:color w:val="666666"/>
          <w:sz w:val="18"/>
        </w:rPr>
        <w:t>Luo X et al.  ·  Front Public Health  ·  02.10.2026  ·  PMID 42890812</w:t>
      </w:r>
    </w:p>
    <w:p>
      <w:r>
        <w:t>Querschnittsstudie zu Umwelt-Health Literacy bei 1.773 erwachsenen Stadtbewohnern in China mit standardisiertem 30-Item-Messinstrument.</w:t>
      </w:r>
    </w:p>
    <w:p>
      <w:r>
        <w:rPr>
          <w:b/>
        </w:rPr>
        <w:t xml:space="preserve">Ergebnis: </w:t>
      </w:r>
      <w:r>
        <w:t>Höhere Schulbildung zeigte stärksten Effekt auf Health Literacy: Personen mit Masterabschluss erzielen 11,32 Punkte höhere Werte (95%-KI: 7,84–14,80) als Personen mit Grundschulabschluss; adjustierte Quote suffiziente Kompetenz 10,06× höher (95%-KI: 3,82–28,98). 88,8% der Stichprobe erfüllten Schwelle ausreichender Kompetenz. Signifikante Geschlechts-×-Bildungs-Interaktionen zeigen Ungleichheit nach Geschlecht und Bildung.</w:t>
      </w:r>
    </w:p>
    <w:p>
      <w:r>
        <w:rPr>
          <w:b/>
          <w:sz w:val="19"/>
        </w:rPr>
        <w:t xml:space="preserve">Übertragbarkeit: </w:t>
      </w:r>
      <w:r>
        <w:rPr>
          <w:sz w:val="19"/>
        </w:rPr>
        <w:t>China, aber Befund zu Bildungsungleichheit systematisch übertragbar auf deutsche Risikogruppen</w:t>
      </w:r>
    </w:p>
    <w:p>
      <w:r>
        <w:rPr>
          <w:color w:val="5A7D3A"/>
          <w:sz w:val="18"/>
        </w:rPr>
        <w:t>https://pubmed.ncbi.nlm.nih.gov/42890812/</w:t>
      </w:r>
    </w:p>
    <w:p>
      <w:pPr>
        <w:pStyle w:val="Heading2"/>
      </w:pPr>
      <w:r>
        <w:t>Digitale Gesundheitskompetenz im Alter: Drei unterschiedliche Nutzerprofile</w:t>
      </w:r>
    </w:p>
    <w:p>
      <w:r>
        <w:rPr>
          <w:i/>
          <w:color w:val="666666"/>
          <w:sz w:val="18"/>
        </w:rPr>
        <w:t>Xiao Z et al.  ·  Front Public Health  ·  02.10.2026  ·  PMID 42890732</w:t>
      </w:r>
    </w:p>
    <w:p>
      <w:r>
        <w:t>Latente Profilanalyse bei 544 älteren Diabetespatienten (≥60 Jahre) zur eHealth Literacy anhand Chinesischer eHealth Literacy Scale.</w:t>
      </w:r>
    </w:p>
    <w:p>
      <w:r>
        <w:rPr>
          <w:b/>
        </w:rPr>
        <w:t xml:space="preserve">Ergebnis: </w:t>
      </w:r>
      <w:r>
        <w:t>Drei Kompetenzprofile identifiziert: Skill-Dependent 56,8% (Mittelwert 26,88), Comprehensive Deficit 15,1% (17,76), Comprehensive Advancement 28,1% (34,72), obwohl Stichprobenmittel nur 27,71±5,93. Höheres Alter (OR 8,50 pro 10 Jahre vs. Comprehensive Advancement), höhere Angst vor Krankheitsprogression (OR 4,60 pro 5 Punkte) und niedrigere Selbstwirksamkeit prädiktiv für niedrigere Profile. Ein Mittelwert verschleiert diese klinisch relevanten Unterschiede.</w:t>
      </w:r>
    </w:p>
    <w:p>
      <w:r>
        <w:rPr>
          <w:b/>
          <w:sz w:val="19"/>
        </w:rPr>
        <w:t xml:space="preserve">Übertragbarkeit: </w:t>
      </w:r>
      <w:r>
        <w:rPr>
          <w:sz w:val="19"/>
        </w:rPr>
        <w:t>China, aber Befund zu heterogenen Profilen überträgt sich auf deutsche Diabetes-Älteren</w:t>
      </w:r>
    </w:p>
    <w:p>
      <w:r>
        <w:rPr>
          <w:color w:val="5A7D3A"/>
          <w:sz w:val="18"/>
        </w:rPr>
        <w:t>https://pubmed.ncbi.nlm.nih.gov/42890732/</w:t>
      </w:r>
    </w:p>
    <w:p>
      <w:pPr>
        <w:pStyle w:val="Heading2"/>
      </w:pPr>
      <w:r>
        <w:t>Digitale Kompetenz und Behandlungssicherheit bei Herzpatienten: Psychische Faktoren als Schlüssel</w:t>
      </w:r>
    </w:p>
    <w:p>
      <w:r>
        <w:rPr>
          <w:i/>
          <w:color w:val="666666"/>
          <w:sz w:val="18"/>
        </w:rPr>
        <w:t>Huang Y et al.  ·  Front Public Health  ·  01.10.2026  ·  PMID 42889363</w:t>
      </w:r>
    </w:p>
    <w:p>
      <w:r>
        <w:t>Querschnittstudie mit CHD-Patienten (n nicht genannt) zur Assoziation von eHealth Literacy mit Entscheidungskonflikt, mediiert durch Cyberchondria und psychologische Inflexibilität mit latenter Profilanalyse.</w:t>
      </w:r>
    </w:p>
    <w:p>
      <w:r>
        <w:rPr>
          <w:b/>
        </w:rPr>
        <w:t xml:space="preserve">Ergebnis: </w:t>
      </w:r>
      <w:r>
        <w:t>eHealth Literacy signifikant und negativ assoziiert mit Entscheidungskonflikt. Cyberchondria und psychologische Inflexibilität mediieren diese Assoziation. Zwei latente Profile identifiziert: hohes und niedriges eHealth Literacy, unterscheiden sich signifikant in Entscheidungskonflikt, Cyberchondria und psychologischer Flexibilität. Person-zentrierter Ansatz enthüllt zwei Subgruppen statt eines Kontinuums.</w:t>
      </w:r>
    </w:p>
    <w:p>
      <w:r>
        <w:rPr>
          <w:b/>
          <w:sz w:val="19"/>
        </w:rPr>
        <w:t xml:space="preserve">Übertragbarkeit: </w:t>
      </w:r>
      <w:r>
        <w:rPr>
          <w:sz w:val="19"/>
        </w:rPr>
        <w:t>China, aber Befund zu psychischen Blockaden bei digitaler Kompetenznutzung auf deutsche Herzpatienten übertragbar</w:t>
      </w:r>
    </w:p>
    <w:p>
      <w:r>
        <w:rPr>
          <w:color w:val="5A7D3A"/>
          <w:sz w:val="18"/>
        </w:rPr>
        <w:t>https://pubmed.ncbi.nlm.nih.gov/42889363/</w:t>
      </w:r>
    </w:p>
    <w:p>
      <w:pPr>
        <w:pStyle w:val="Heading2"/>
      </w:pPr>
      <w:r>
        <w:t>Wie weibliche Studierende zu HPV-Wissen gelangen: Kanäle und Glaubwürdigkeit entscheidend</w:t>
      </w:r>
    </w:p>
    <w:p>
      <w:r>
        <w:rPr>
          <w:i/>
          <w:color w:val="666666"/>
          <w:sz w:val="18"/>
        </w:rPr>
        <w:t>Xie M et al.  ·  Front Public Health  ·  01.10.2026  ·  PMID 42889210</w:t>
      </w:r>
    </w:p>
    <w:p>
      <w:r>
        <w:t>Querschnittstudie mit 519 Studentinnen in China: Mediation von Health Information Literacy zwischen Informationssuche und HPV-Wissen, moderiert durch Kanaltyp (professional vs. non-professional) und Vertrauenspräferenz.</w:t>
      </w:r>
    </w:p>
    <w:p>
      <w:r>
        <w:rPr>
          <w:b/>
        </w:rPr>
        <w:t xml:space="preserve">Ergebnis: </w:t>
      </w:r>
      <w:r>
        <w:t>Health Information Literacy mediiert Effekt (indirekt: 0,056, 95%-KI [0,019–0,093]). Bei nicht-professionellen Kanälen war HIL-Wissen-Assoziation signifikant (B=0,112, p&lt;0,001), bei professionellen nicht (B=0,018, p=0,521). Vertrauenspräferenz zeigt vierfach stärkere Assoziation für nicht-professionelle Kanäle (B=0,210 vs. 0,049). Kanalcharakteristiken beeinflussen stark, ob Kompetenzen in Wissen übersetzt werden.</w:t>
      </w:r>
    </w:p>
    <w:p>
      <w:r>
        <w:rPr>
          <w:b/>
          <w:sz w:val="19"/>
        </w:rPr>
        <w:t xml:space="preserve">Übertragbarkeit: </w:t>
      </w:r>
      <w:r>
        <w:rPr>
          <w:sz w:val="19"/>
        </w:rPr>
        <w:t>China, aber Befund zu Kanaleffekten auf Wissen systematisch auf deutsche Informationsqualität übertragbar</w:t>
      </w:r>
    </w:p>
    <w:p>
      <w:r>
        <w:rPr>
          <w:color w:val="5A7D3A"/>
          <w:sz w:val="18"/>
        </w:rPr>
        <w:t>https://pubmed.ncbi.nlm.nih.gov/42889210/</w:t>
      </w:r>
    </w:p>
    <w:p>
      <w:pPr>
        <w:pStyle w:val="Heading2"/>
      </w:pPr>
      <w:r>
        <w:t>Patient Activation bei Dialyse: Digitale Begleitung erhöht Patientenbeteiligung, aber mit Hürden</w:t>
      </w:r>
    </w:p>
    <w:p>
      <w:r>
        <w:rPr>
          <w:i/>
          <w:color w:val="666666"/>
          <w:sz w:val="18"/>
        </w:rPr>
        <w:t>Wickens M et al.  ·  J Med Internet Res  ·  16.10.2026  ·  PMID 42887003</w:t>
      </w:r>
    </w:p>
    <w:p>
      <w:r>
        <w:t>Gemischte Methoden zur Patient Activation via 5 Module und 5 Videokonferenzen mit Peer-Mentoring bei Hämodialysepatienten (639 Patienten, 10 Zentren, USA).</w:t>
      </w:r>
    </w:p>
    <w:p>
      <w:r>
        <w:rPr>
          <w:b/>
        </w:rPr>
        <w:t xml:space="preserve">Ergebnis: </w:t>
      </w:r>
      <w:r>
        <w:t>Rekrutiert 155/639 (24,3%), Jüngere Patienten eher rekrutiert (57,6 vs. 64,3 Jahre, p&lt;0,001); jedes Zusatzjahr: 4% niedrigere Chancen (OR 0,96, 95%-KI: 0,94–0,98). Engagement höher bei Männern (IRR 1,33, p&lt;0,001), Schwarzen Patienten (IRR 1,27, p&lt;0,001). Von 155 Rekrutierten vollendeten 58 (37,4%) alle 5 Sessions. Durchschnittlicher Engagement-Score 18,4/50. Hauptverhalten: Patientenmittelung (81% der Ziele, 40,7% realisierten dies). 100% Zufriedenheit unter Mentees. Wichtigste Barriere: Rekrutierung und frühe Attrition vor Beginn.</w:t>
      </w:r>
    </w:p>
    <w:p>
      <w:r>
        <w:rPr>
          <w:b/>
          <w:sz w:val="19"/>
        </w:rPr>
        <w:t xml:space="preserve">Übertragbarkeit: </w:t>
      </w:r>
      <w:r>
        <w:rPr>
          <w:sz w:val="19"/>
        </w:rPr>
        <w:t>USA, aber Befund zu Alters- und Geschlechtsbias bei Engagement und Beteiligung auf deutsche Dialyse übertragbar</w:t>
      </w:r>
    </w:p>
    <w:p>
      <w:r>
        <w:rPr>
          <w:color w:val="5A7D3A"/>
          <w:sz w:val="18"/>
        </w:rPr>
        <w:t>https://pubmed.ncbi.nlm.nih.gov/42887003/</w:t>
      </w:r>
    </w:p>
    <w:p>
      <w:pPr>
        <w:pStyle w:val="Heading2"/>
      </w:pPr>
      <w:r>
        <w:t>Hüftoperation: App, Liveunterricht oder Broschüre – keine Unterschiede beim Verständnis</w:t>
      </w:r>
    </w:p>
    <w:p>
      <w:r>
        <w:rPr>
          <w:i/>
          <w:color w:val="666666"/>
          <w:sz w:val="18"/>
        </w:rPr>
        <w:t>DE Smet A et al.  ·  Acta Orthop Belg  ·  08.10.2026  ·  PMID 42885460</w:t>
      </w:r>
    </w:p>
    <w:p>
      <w:r>
        <w:t>Randomisierte kontrollierte Studie: 79 Patienten vor Hüftgelenksersatz in drei Gruppen (Broschüre n=29, Live-Sitzung n=24, Mobile App n=26) – Vergleich von Aufenthaltsdauer, Patientenzufriedenheit und postoperativen Ergebnissen.</w:t>
      </w:r>
    </w:p>
    <w:p>
      <w:r>
        <w:rPr>
          <w:b/>
        </w:rPr>
        <w:t xml:space="preserve">Ergebnis: </w:t>
      </w:r>
      <w:r>
        <w:t>Krankenhausaufenthalt 4,25±3 Tage, kein signifikanter Unterschied zwischen Gruppen (p=0,525). Zufriedenheit mit Unterrichtsmethode (p=0,997) und Informationsinhalt (p=0,365) gleich in allen Gruppen. App-Gruppe berichtete leicht höhere Motivation für Übungen, nicht signifikant. Alle Gruppen zeigten signifikante postoperative Verbesserungen (p&lt;0,001), keine Unterschiede in Magnitude. Zusatzkosten für Live-Sitzungen und App-Einsatz überwiegen begrenzte Vorteile nicht.</w:t>
      </w:r>
    </w:p>
    <w:p>
      <w:r>
        <w:rPr>
          <w:b/>
          <w:sz w:val="19"/>
        </w:rPr>
        <w:t xml:space="preserve">Übertragbarkeit: </w:t>
      </w:r>
      <w:r>
        <w:rPr>
          <w:sz w:val="19"/>
        </w:rPr>
        <w:t>Belgien, vergleichbares Gesundheitssystem, direkt auf deutsche Orthopädie-Praxen übertragbar</w:t>
      </w:r>
    </w:p>
    <w:p>
      <w:r>
        <w:rPr>
          <w:color w:val="5A7D3A"/>
          <w:sz w:val="18"/>
        </w:rPr>
        <w:t>https://pubmed.ncbi.nlm.nih.gov/42885460/</w:t>
      </w:r>
    </w:p>
    <w:p>
      <w:pPr>
        <w:pStyle w:val="Heading1"/>
      </w:pPr>
      <w:r>
        <w:t>Aufgenommen am 17.10.2026</w:t>
      </w:r>
    </w:p>
    <w:p>
      <w:pPr>
        <w:pStyle w:val="Heading2"/>
      </w:pPr>
      <w:r>
        <w:t>Verständlichkeit digitaler Schulungsmaterialien mit Augmented Reality zur Fußpflege</w:t>
      </w:r>
    </w:p>
    <w:p>
      <w:r>
        <w:rPr>
          <w:i/>
          <w:color w:val="666666"/>
          <w:sz w:val="18"/>
        </w:rPr>
        <w:t>Velázquez-López L et al.  ·  Inquiry  ·  16.10.2026  ·  PMID 42887896</w:t>
      </w:r>
    </w:p>
    <w:p>
      <w:r>
        <w:t>Validierungsstudie eines Hybrid-Lernmaterials (Print und App mit Augmented Reality) zur Diabetischen-Fuß-Prävention durch 38 Fachexpert*innen über drei Monate.</w:t>
      </w:r>
    </w:p>
    <w:p>
      <w:r>
        <w:rPr>
          <w:b/>
        </w:rPr>
        <w:t xml:space="preserve">Ergebnis: </w:t>
      </w:r>
      <w:r>
        <w:t>97,4 % bewerteten das Material mit hohem Score, 2,6 % mit mittlerem Score, 0 % mit niedrigem Score. Mittleres Alter der Expert*innen 34 Jahre, mediane klinische Erfahrung 8 Jahre (IQR 2–15). Das Ergebnis zeigt, dass Fachpersonal die Materialien als verständlich und hilfreich für die Gesundheitserziehung bewertet.</w:t>
      </w:r>
    </w:p>
    <w:p>
      <w:r>
        <w:rPr>
          <w:b/>
          <w:sz w:val="19"/>
        </w:rPr>
        <w:t xml:space="preserve">Übertragbarkeit: </w:t>
      </w:r>
      <w:r>
        <w:rPr>
          <w:sz w:val="19"/>
        </w:rPr>
        <w:t>Mexiko; Validierungsergebnis technik-unabhängig, aber Übertragbarkeit auf deutsche Schulungskontexte erfordert kulturelle Anpassung.</w:t>
      </w:r>
    </w:p>
    <w:p>
      <w:r>
        <w:rPr>
          <w:color w:val="5A7D3A"/>
          <w:sz w:val="18"/>
        </w:rPr>
        <w:t>https://pubmed.ncbi.nlm.nih.gov/42887896/</w:t>
      </w:r>
    </w:p>
    <w:p>
      <w:pPr>
        <w:pStyle w:val="Heading2"/>
      </w:pPr>
      <w:r>
        <w:t>Patientenbeteiligung in Forschung: Lernprozesse und Herausforderungen bei der Zusammenarbeit</w:t>
      </w:r>
    </w:p>
    <w:p>
      <w:r>
        <w:rPr>
          <w:i/>
          <w:color w:val="666666"/>
          <w:sz w:val="18"/>
        </w:rPr>
        <w:t>Fox J et al.  ·  Health Expect  ·  Okt. 2026  ·  PMID 42886175</w:t>
      </w:r>
    </w:p>
    <w:p>
      <w:r>
        <w:t>Qualitative Fallstudie zur Erfahrung von Forschungsteams und Patient*innen mit Lived-Experience-Expertise über sieben Jahre hinweg in einer Mental-Health-Interventionsstudie.</w:t>
      </w:r>
    </w:p>
    <w:p>
      <w:r>
        <w:rPr>
          <w:b/>
        </w:rPr>
        <w:t xml:space="preserve">Ergebnis: </w:t>
      </w:r>
      <w:r>
        <w:t>Beide Gruppen durchliefen einen Lernprozess, der von Spannungen geprägt war. Der Erfolg der Patientenbeteiligung hängt von Flexibilität, offener Kommunikation und regelmäßigem reflektierendem Feedback ab – nicht primär von messbaren wirtschaftlichen Erträgen. Teamdynamik, strukturelle Veränderungen und externe Faktoren (etwa COVID-19) beeinflussen die Zusammenarbeit erheblich.</w:t>
      </w:r>
    </w:p>
    <w:p>
      <w:r>
        <w:rPr>
          <w:b/>
          <w:sz w:val="19"/>
        </w:rPr>
        <w:t xml:space="preserve">Übertragbarkeit: </w:t>
      </w:r>
      <w:r>
        <w:rPr>
          <w:sz w:val="19"/>
        </w:rPr>
        <w:t>Großbritannien, NHS-System; Erkenntnisse zur Gestaltung echter Partizipation sind kontextübergreifend relevant.</w:t>
      </w:r>
    </w:p>
    <w:p>
      <w:r>
        <w:rPr>
          <w:color w:val="5A7D3A"/>
          <w:sz w:val="18"/>
        </w:rPr>
        <w:t>https://pubmed.ncbi.nlm.nih.gov/42886175/</w:t>
      </w:r>
    </w:p>
    <w:p>
      <w:pPr>
        <w:pStyle w:val="Heading2"/>
      </w:pPr>
      <w:r>
        <w:t>Ernährungsschulung in der Schwangerschaft: Effektive Komponenten zur Gestationsdiabetes-Prävention</w:t>
      </w:r>
    </w:p>
    <w:p>
      <w:r>
        <w:rPr>
          <w:i/>
          <w:color w:val="666666"/>
          <w:sz w:val="18"/>
        </w:rPr>
        <w:t>Gao M et al.  ·  Nutrients  ·  08.10.2026  ·  PMID 42884754</w:t>
      </w:r>
    </w:p>
    <w:p>
      <w:r>
        <w:t>Systematischer Review und Metaanalyse von 29 RCTs mit 17.937 schwangeren Frauen zur Wirkung von Ernährungsbildungsinterventionen auf das Gestationsdiabetes-Risiko.</w:t>
      </w:r>
    </w:p>
    <w:p>
      <w:r>
        <w:rPr>
          <w:b/>
        </w:rPr>
        <w:t xml:space="preserve">Ergebnis: </w:t>
      </w:r>
      <w:r>
        <w:t>Interventionen senken das Gestationsdiabetes-Risiko um 12 % (gepooltes RR 0,88, 95%-CI 0,79–0,98; p=0,02). Absolute Inzidenz: 16,01 % (Intervention) vs. 17,06 % (Kontrolle). Größte Risikoreduktion bei Interventionen, die in theoretischen Konzepten verankert, im Krankenhaus durchgeführt und mit hoher Treue umgesetzt wurden. Einzelne Angebote und Diätinhalte zeigten günstige, aber nicht signifikante Trends.</w:t>
      </w:r>
    </w:p>
    <w:p>
      <w:r>
        <w:rPr>
          <w:b/>
          <w:sz w:val="19"/>
        </w:rPr>
        <w:t xml:space="preserve">Übertragbarkeit: </w:t>
      </w:r>
      <w:r>
        <w:rPr>
          <w:sz w:val="19"/>
        </w:rPr>
        <w:t>Diverse Settings; Evidenz unterstützt systematische Verankerung in der Routinevorsorge – auch für Deutschland.</w:t>
      </w:r>
    </w:p>
    <w:p>
      <w:r>
        <w:rPr>
          <w:color w:val="5A7D3A"/>
          <w:sz w:val="18"/>
        </w:rPr>
        <w:t>https://pubmed.ncbi.nlm.nih.gov/42884754/</w:t>
      </w:r>
    </w:p>
    <w:p>
      <w:pPr>
        <w:pStyle w:val="Heading2"/>
      </w:pPr>
      <w:r>
        <w:t>Lücken in der psychischen Gesundheitskompetenz von Fachpflegekräften</w:t>
      </w:r>
    </w:p>
    <w:p>
      <w:r>
        <w:rPr>
          <w:i/>
          <w:color w:val="666666"/>
          <w:sz w:val="18"/>
        </w:rPr>
        <w:t>Pietrzak M et al.  ·  Front Public Health  ·  30.09.2026  ·  PMID 42876669</w:t>
      </w:r>
    </w:p>
    <w:p>
      <w:r>
        <w:t>Querschnittstudie zur Mental Health Literacy (Wissen, Erkennung, Behandlung psychischer Störungen) bei 207 polnischen Familienpflegekräften mit standardisiertem Messinstrument.</w:t>
      </w:r>
    </w:p>
    <w:p>
      <w:r>
        <w:rPr>
          <w:b/>
        </w:rPr>
        <w:t xml:space="preserve">Ergebnis: </w:t>
      </w:r>
      <w:r>
        <w:t>Mittlere normalisierte Gesamtscore 70,43 %; größte Lücken bei Risikofaktoren und verfügbarer professioneller Hilfe (je 66,67 %), beste Scores bei Störungserkennung (75 %). Unabhängig assoziiert mit höherer Kompetenz: jüngeres Alter, städtischer Wohnort, Kontakt zu Menschen mit psychischer Erkrankung. Ältere und ländliche Pflegekräfte brauchen gezielt Fortbildung.</w:t>
      </w:r>
    </w:p>
    <w:p>
      <w:r>
        <w:rPr>
          <w:b/>
          <w:sz w:val="19"/>
        </w:rPr>
        <w:t xml:space="preserve">Übertragbarkeit: </w:t>
      </w:r>
      <w:r>
        <w:rPr>
          <w:sz w:val="19"/>
        </w:rPr>
        <w:t>Polen, EU-Gesundheitssystem; Ergebnisse zur Weiterbildung übertragbar auf Deutschland.</w:t>
      </w:r>
    </w:p>
    <w:p>
      <w:r>
        <w:rPr>
          <w:color w:val="5A7D3A"/>
          <w:sz w:val="18"/>
        </w:rPr>
        <w:t>https://pubmed.ncbi.nlm.nih.gov/42876669/</w:t>
      </w:r>
    </w:p>
    <w:p>
      <w:pPr>
        <w:pStyle w:val="Heading2"/>
      </w:pPr>
      <w:r>
        <w:t>Patientenschulung zur sicheren Heimentfernung von Drainagen: Effekt auf Komplikationen und Zufriedenheit</w:t>
      </w:r>
    </w:p>
    <w:p>
      <w:r>
        <w:rPr>
          <w:i/>
          <w:color w:val="666666"/>
          <w:sz w:val="18"/>
        </w:rPr>
        <w:t>Mostacada N et al.  ·  Clin Nurse Spec  ·  07.10.2026  ·  PMID 42842229</w:t>
      </w:r>
    </w:p>
    <w:p>
      <w:r>
        <w:t>Qualitätsverbesserungsprojekt: Klinische Pflegefachkräfte schulten Patienten (mit Handout, persönlichem Training und Hands-on-Praxis) zur sicheren Entfernung von Jackson-Pratt-Drainagen zu Hause.</w:t>
      </w:r>
    </w:p>
    <w:p>
      <w:r>
        <w:rPr>
          <w:b/>
        </w:rPr>
        <w:t xml:space="preserve">Ergebnis: </w:t>
      </w:r>
      <w:r>
        <w:t>Seit Februar 2025 wurden knapp 100 Drainagen erfolgreich zu Hause entfernt, ohne Komplikationen gemeldet. Durch strukturierte Patientenschulung verbesserte sich Patienten-Sicherheit und Komfort, stieg die Zufriedenheit, sank das Komplikationsrisiko und die Ressourcennutzung, ohne Patientenergebnisse zu gefährden.</w:t>
      </w:r>
    </w:p>
    <w:p>
      <w:r>
        <w:rPr>
          <w:b/>
          <w:sz w:val="19"/>
        </w:rPr>
        <w:t xml:space="preserve">Übertragbarkeit: </w:t>
      </w:r>
      <w:r>
        <w:rPr>
          <w:sz w:val="19"/>
        </w:rPr>
        <w:t>USA; Evidenz für Benefit von strukturierter Patientenschulung ist systemübergreifend relevant, Umsetzung auf Deutschland übertragbar.</w:t>
      </w:r>
    </w:p>
    <w:p>
      <w:r>
        <w:rPr>
          <w:color w:val="5A7D3A"/>
          <w:sz w:val="18"/>
        </w:rPr>
        <w:t>https://pubmed.ncbi.nlm.nih.gov/42842229/</w:t>
      </w:r>
    </w:p>
    <w:p>
      <w:pPr>
        <w:pStyle w:val="Heading2"/>
      </w:pPr>
      <w:r>
        <w:t>Kardiovaskuläre Gesundheitskompetenz bei Frauen: Mangel an Information und Erkennung</w:t>
      </w:r>
    </w:p>
    <w:p>
      <w:r>
        <w:rPr>
          <w:i/>
          <w:color w:val="666666"/>
          <w:sz w:val="18"/>
        </w:rPr>
        <w:t>Quintal J et al.  ·  Rev Port Cardiol  ·  25.08.2026  ·  PMID 42641683</w:t>
      </w:r>
    </w:p>
    <w:p>
      <w:r>
        <w:t>Querschnittstudie bei 204 portugiesischen Frauen (Alter ≥18 Jahre) zur kardiovaskulären Health Literacy: Wissensstand zu Risikofaktoren, Symptomen, Prävention und angemessenem Handeln.</w:t>
      </w:r>
    </w:p>
    <w:p>
      <w:r>
        <w:rPr>
          <w:b/>
        </w:rPr>
        <w:t xml:space="preserve">Ergebnis: </w:t>
      </w:r>
      <w:r>
        <w:t>Nur 5,6 % fühlten sich gut informiert, 15,4 % berichteten kein Wissen. Nur 27,7 % erkannten kardiovaskuläre Erkrankung als Todesursache Nr. 1 bei Frauen. Symptomerkennung unzureichend. Hauptbarrieren: finanzielle Constraints (50 %), Zeitmangel (36,7 %). Im multivariaten Modell: Alter ≥62 Jahre (OR 4,20, 95%-CI 1,57–11,22) und Grundschulbildung (OR 3,60, 95%-CI 1,43–9,09) vorhersagend für niedrige Awareness.</w:t>
      </w:r>
    </w:p>
    <w:p>
      <w:r>
        <w:rPr>
          <w:b/>
          <w:sz w:val="19"/>
        </w:rPr>
        <w:t xml:space="preserve">Übertragbarkeit: </w:t>
      </w:r>
      <w:r>
        <w:rPr>
          <w:sz w:val="19"/>
        </w:rPr>
        <w:t>Portugal, vergleichbares europäisches Gesundheitssystem; Disparitäten nach Alter und Bildung sind in Deutschland ähnlich.</w:t>
      </w:r>
    </w:p>
    <w:p>
      <w:r>
        <w:rPr>
          <w:color w:val="5A7D3A"/>
          <w:sz w:val="18"/>
        </w:rPr>
        <w:t>https://pubmed.ncbi.nlm.nih.gov/42641683/</w:t>
      </w:r>
    </w:p>
    <w:p>
      <w:pPr>
        <w:pStyle w:val="Heading1"/>
      </w:pPr>
      <w:r>
        <w:t>Aufgenommen am 16.10.2026</w:t>
      </w:r>
    </w:p>
    <w:p>
      <w:pPr>
        <w:pStyle w:val="Heading2"/>
      </w:pPr>
      <w:r>
        <w:t>Patienten als Forschungspartner: Co-entwickelter Evaluationsrahmen</w:t>
      </w:r>
    </w:p>
    <w:p>
      <w:r>
        <w:rPr>
          <w:i/>
          <w:color w:val="666666"/>
          <w:sz w:val="18"/>
        </w:rPr>
        <w:t>Rizai M et al.  ·  Health Expect  ·  Okt. 2026  ·  PMID 42878207</w:t>
      </w:r>
    </w:p>
    <w:p>
      <w:r>
        <w:t>Partizipative Entwicklung eines Evaluationsrahmens mit Personen mit Demenzerkrankung und Angehörigen zur Bewertung eines Engagementprogramms in einem nationalen Forschungskonsortium.</w:t>
      </w:r>
    </w:p>
    <w:p>
      <w:r>
        <w:rPr>
          <w:b/>
        </w:rPr>
        <w:t xml:space="preserve">Ergebnis: </w:t>
      </w:r>
      <w:r>
        <w:t>Ein Programmlogikmodell wurde als Grundlage entwickelt, das Aktivitäten und ihre Verknüpfung zu beabsichtigten Ergebnissen visualisiert. Der Rahmen enthält vier Evaluationsfragen mit entsprechenden Indikatoren, Methoden und Datenquellen, ein Mixed-Methods-Design mit Fragebogen und kunstgestützter Evaluation zur Förderung von Inklusion, sowie einen Feedback-Mechanismus. Die partizipative Methode ermöglichte es betroffenen Personen, als Co-Investigatoren und Co-Autoren tätig zu sein.</w:t>
      </w:r>
    </w:p>
    <w:p>
      <w:r>
        <w:rPr>
          <w:b/>
          <w:sz w:val="19"/>
        </w:rPr>
        <w:t xml:space="preserve">Übertragbarkeit: </w:t>
      </w:r>
      <w:r>
        <w:rPr>
          <w:sz w:val="19"/>
        </w:rPr>
        <w:t>Kanada; Modell der Partizipation übertragbar, Prozessschritte als Template für deutsche Forschungskonsortien anwendbar.</w:t>
      </w:r>
    </w:p>
    <w:p>
      <w:r>
        <w:rPr>
          <w:color w:val="5A7D3A"/>
          <w:sz w:val="18"/>
        </w:rPr>
        <w:t>https://pubmed.ncbi.nlm.nih.gov/42878207/</w:t>
      </w:r>
    </w:p>
    <w:p>
      <w:pPr>
        <w:pStyle w:val="Heading2"/>
      </w:pPr>
      <w:r>
        <w:t>Verständnis von psychischer Erkrankung bei Dialysepatienten: Barrieren und Stigma</w:t>
      </w:r>
    </w:p>
    <w:p>
      <w:r>
        <w:rPr>
          <w:i/>
          <w:color w:val="666666"/>
          <w:sz w:val="18"/>
        </w:rPr>
        <w:t>Xiao W et al.  ·  Front Public Health  ·  30.09.2026  ·  PMID 42877207</w:t>
      </w:r>
    </w:p>
    <w:p>
      <w:r>
        <w:t>Qualitative Studie mit 11 Dialysepatienten zu Gesundheitskompetenz, Wissenslücken und Stigma-bedingten Hemmnissen bei der Inanspruchnahme psychischer Unterstützung.</w:t>
      </w:r>
    </w:p>
    <w:p>
      <w:r>
        <w:rPr>
          <w:b/>
        </w:rPr>
        <w:t xml:space="preserve">Ergebnis: </w:t>
      </w:r>
      <w:r>
        <w:t>Drei Kernthemen wurden identifiziert: (1) heterogenes Verständnis von psychischer Erkrankung; (2) fragmentiertes Wissen mit polarisierten Informationsquellen, oberflächlichen Ursachenzuschreibungen und ungleicher Awareness von Hilfsressourcen; (3) ambivalente Einstellungen mit Koexistenz von Stigmatisierung und Normalisierung, verbunden mit Lücke zwischen Absicht und Handeln. Die Studie zeigt dringenden Bedarf für spezialisierte, kulturell angepasste psychoedukationale Interventionen.</w:t>
      </w:r>
    </w:p>
    <w:p>
      <w:r>
        <w:rPr>
          <w:b/>
          <w:sz w:val="19"/>
        </w:rPr>
        <w:t xml:space="preserve">Übertragbarkeit: </w:t>
      </w:r>
      <w:r>
        <w:rPr>
          <w:sz w:val="19"/>
        </w:rPr>
        <w:t>China; Befunde zu Stigma und Wissensfragmentierung gelten kulturübergreifend, erfordern aber lokale Adaptation.</w:t>
      </w:r>
    </w:p>
    <w:p>
      <w:r>
        <w:rPr>
          <w:color w:val="5A7D3A"/>
          <w:sz w:val="18"/>
        </w:rPr>
        <w:t>https://pubmed.ncbi.nlm.nih.gov/42877207/</w:t>
      </w:r>
    </w:p>
    <w:p>
      <w:pPr>
        <w:pStyle w:val="Heading2"/>
      </w:pPr>
      <w:r>
        <w:t>Digitale Schmerzedukation: Welche Bevölkerungsgruppen bleiben ausgeschlossen?</w:t>
      </w:r>
    </w:p>
    <w:p>
      <w:r>
        <w:rPr>
          <w:i/>
          <w:color w:val="666666"/>
          <w:sz w:val="18"/>
        </w:rPr>
        <w:t>Khalid H et al.  ·  Front Public Health  ·  30.09.2026  ·  PMID 42877005</w:t>
      </w:r>
    </w:p>
    <w:p>
      <w:r>
        <w:t>Systematische Übersicht von 100 Studien zu digital gestützten Patientenschulungen für chronische muskuloskelettale Schmerzen mit Fokus auf Erreichung diverser Bevölkerungsgruppen.</w:t>
      </w:r>
    </w:p>
    <w:p>
      <w:r>
        <w:rPr>
          <w:b/>
        </w:rPr>
        <w:t xml:space="preserve">Ergebnis: </w:t>
      </w:r>
      <w:r>
        <w:t>86 % der Studien (n=86) waren in Nord- und Europa durchgeführt, aber 86 % (n=86) richteten sich nicht gezielt an Subgruppen mit höherem Behandlungsbedarf. Von 39 genannten Interventionen waren nur 13 auf diverse Bedürfnisse zugeschnitten. 81 % der Studien (n=81) berichteten reale Tests und Effektivitätsevaluationen; wenige dokumentierten Co-Design oder Prototypentestung. Die Autoren schließen: Zukünftige Entwicklung muss ungedeckte Bedarfe adressieren, um inklusivere Interventionen zu schaffen.</w:t>
      </w:r>
    </w:p>
    <w:p>
      <w:r>
        <w:rPr>
          <w:b/>
          <w:sz w:val="19"/>
        </w:rPr>
        <w:t xml:space="preserve">Übertragbarkeit: </w:t>
      </w:r>
      <w:r>
        <w:rPr>
          <w:sz w:val="19"/>
        </w:rPr>
        <w:t>Multinationale Review; Befund zur Equity-Lücke in Deutschland höchst relevant, Implementierungen müssen unterrepräsentierte Gruppen einschließen.</w:t>
      </w:r>
    </w:p>
    <w:p>
      <w:r>
        <w:rPr>
          <w:color w:val="5A7D3A"/>
          <w:sz w:val="18"/>
        </w:rPr>
        <w:t>https://pubmed.ncbi.nlm.nih.gov/42877005/</w:t>
      </w:r>
    </w:p>
    <w:p>
      <w:pPr>
        <w:pStyle w:val="Heading2"/>
      </w:pPr>
      <w:r>
        <w:t>Gesundheitsbildung senkt irrationalen Antibiotikagebrauch: Kombinierte Intervention</w:t>
      </w:r>
    </w:p>
    <w:p>
      <w:r>
        <w:rPr>
          <w:i/>
          <w:color w:val="666666"/>
          <w:sz w:val="18"/>
        </w:rPr>
        <w:t>Xie X et al.  ·  Front Public Health  ·  30.09.2026  ·  PMID 42876734</w:t>
      </w:r>
    </w:p>
    <w:p>
      <w:r>
        <w:t>Evaluierung einer kombinierten Maßnahme aus Gesundheitsbildungsmaterialien (Broschüren, Videos, Schulungen) und einem intelligenten Rezept-Prüfsystem auf Antibiotikaverschreibung und Kosteneffizienz in einem Krankenhaus.</w:t>
      </w:r>
    </w:p>
    <w:p>
      <w:r>
        <w:rPr>
          <w:b/>
        </w:rPr>
        <w:t xml:space="preserve">Ergebnis: </w:t>
      </w:r>
      <w:r>
        <w:t>Die kombinierte Intervention mit Online- und Offline-Bildungsmaßnahmen führte zu Reduktion der Antibiotikamenge und des Anteils der Antibiotika-Ausgaben an den Gesamtmedikamentenkosten. Von Oktober bis Dezember 2025 sank die Anzahl der Rezepte mit Fehlern bei Indikation, Dosierung, Verabreichungsweg und Kontraindikationsverstößen im Vergleich zur Baseline (Oktober–Dezember 2024) ab. Die multifazettierte Strategie zeigte erhebliches Potenzial zur Reduktion antimikrobieller Substanznutzung.</w:t>
      </w:r>
    </w:p>
    <w:p>
      <w:r>
        <w:rPr>
          <w:b/>
          <w:sz w:val="19"/>
        </w:rPr>
        <w:t xml:space="preserve">Übertragbarkeit: </w:t>
      </w:r>
      <w:r>
        <w:rPr>
          <w:sz w:val="19"/>
        </w:rPr>
        <w:t>China; Konzept der integrierten Bildung + Decision-Support übertragbar; Sprachabhängigkeit der Materialien.</w:t>
      </w:r>
    </w:p>
    <w:p>
      <w:r>
        <w:rPr>
          <w:color w:val="5A7D3A"/>
          <w:sz w:val="18"/>
        </w:rPr>
        <w:t>https://pubmed.ncbi.nlm.nih.gov/42876734/</w:t>
      </w:r>
    </w:p>
    <w:p>
      <w:pPr>
        <w:pStyle w:val="Heading2"/>
      </w:pPr>
      <w:r>
        <w:t>Bewegungsverhalten nach digitaler Schulung: Effekte bei Arthrose</w:t>
      </w:r>
    </w:p>
    <w:p>
      <w:r>
        <w:rPr>
          <w:i/>
          <w:color w:val="666666"/>
          <w:sz w:val="18"/>
        </w:rPr>
        <w:t>Kiadaliri A et al.  ·  BMC Musculoskelet Disord  ·  11.10.2026  ·  PMID 42875770</w:t>
      </w:r>
    </w:p>
    <w:p>
      <w:r>
        <w:t>Longitudinale Registerstudie zur Wirkung eines digitalen Schulungs- und Therapieprogramms auf die körperliche Aktivität bei 15.197 Patienten mit Knie- oder Hüftarthrose über ein Jahr.</w:t>
      </w:r>
    </w:p>
    <w:p>
      <w:r>
        <w:rPr>
          <w:b/>
        </w:rPr>
        <w:t xml:space="preserve">Ergebnis: </w:t>
      </w:r>
      <w:r>
        <w:t>Der Anteil der Patienten, die das empfohlene Aktivitätsniveau (≥150 Min/Woche mäßige bis kräftige Aktivität) erreichten, stieg von 51,4 % (95%-KI: 50,6–52,2) bei Aufnahme auf 58,5 % (57,1–59,9) nach einem Jahr. Vier Aktivitätsmuster wurden identifiziert: persistiert hoch (41,2 %), persistiert niedrig (30,4 %), zunehmend (16,5 %), abnehmend (11,9 %). Body-Mass-Index und körperliche Funktionsfähigkeit waren die wichtigsten mit den Aktivitätsmustern assoziierten Faktoren. Alle Gruppen zeigten vergleichbare klinische Verbesserungen in patientenberichteten Outcomes.</w:t>
      </w:r>
    </w:p>
    <w:p>
      <w:r>
        <w:rPr>
          <w:b/>
          <w:sz w:val="19"/>
        </w:rPr>
        <w:t xml:space="preserve">Übertragbarkeit: </w:t>
      </w:r>
      <w:r>
        <w:rPr>
          <w:sz w:val="19"/>
        </w:rPr>
        <w:t>Schweden, Versicherungssystem vergleichbar; digitale Schulungsformate als Skalierungsmodell übertragbar.</w:t>
      </w:r>
    </w:p>
    <w:p>
      <w:r>
        <w:rPr>
          <w:color w:val="5A7D3A"/>
          <w:sz w:val="18"/>
        </w:rPr>
        <w:t>https://pubmed.ncbi.nlm.nih.gov/42875770/</w:t>
      </w:r>
    </w:p>
    <w:p>
      <w:pPr>
        <w:pStyle w:val="Heading2"/>
      </w:pPr>
      <w:r>
        <w:t>Barrieren zur Teilnahme an Krebsstudien: Was Patienten berichten</w:t>
      </w:r>
    </w:p>
    <w:p>
      <w:r>
        <w:rPr>
          <w:i/>
          <w:color w:val="666666"/>
          <w:sz w:val="18"/>
        </w:rPr>
        <w:t>Scruton S et al.  ·  Cancer Rep (Hoboken)  ·  Okt. 2026  ·  PMID 42870373</w:t>
      </w:r>
    </w:p>
    <w:p>
      <w:r>
        <w:t>Systematische Übersicht von 131 qualitativ-quantitativen Studien zu Barrieren, die Patienten und Angehörige von der Teilnahme an klinischen Krebsstudien abhalten.</w:t>
      </w:r>
    </w:p>
    <w:p>
      <w:r>
        <w:rPr>
          <w:b/>
        </w:rPr>
        <w:t xml:space="preserve">Ergebnis: </w:t>
      </w:r>
      <w:r>
        <w:t>Barrieren wurden in drei Gruppen kategorisiert: (1) psychosoziale Barrieren (Angst vor Nebenwirkungen, Misstrauen, wahrgenommener Nutzenmangel); (2) logistische Barrieren (Reiseanforderungen, finanzielle Belastung); (3) Informationsbarrieren (Schwierigkeiten, Einwilligungsdokumente zu verstehen). Die Analyse von 7.918 Studien ergab, dass Empfehlungen auf finanzielle und logistische Unterstützung, geeignete Informationsvermittlung und Vertrauensaufbau mit dem Forschungspersonal hindeuten.</w:t>
      </w:r>
    </w:p>
    <w:p>
      <w:r>
        <w:rPr>
          <w:b/>
          <w:sz w:val="19"/>
        </w:rPr>
        <w:t xml:space="preserve">Übertragbarkeit: </w:t>
      </w:r>
      <w:r>
        <w:rPr>
          <w:sz w:val="19"/>
        </w:rPr>
        <w:t>Kanada und multinationale Analyse; Barrier-Kategorien sind systemübergreifend relevant für deutsche Onkologiestudien.</w:t>
      </w:r>
    </w:p>
    <w:p>
      <w:r>
        <w:rPr>
          <w:color w:val="5A7D3A"/>
          <w:sz w:val="18"/>
        </w:rPr>
        <w:t>https://pubmed.ncbi.nlm.nih.gov/42870373/</w:t>
      </w:r>
    </w:p>
    <w:p>
      <w:pPr>
        <w:pStyle w:val="Heading1"/>
      </w:pPr>
      <w:r>
        <w:t>Aufgenommen am 15.10.2026</w:t>
      </w:r>
    </w:p>
    <w:p>
      <w:pPr>
        <w:pStyle w:val="Heading2"/>
      </w:pPr>
      <w:r>
        <w:t>Dreisäulen-Rahmen für digitale Gesundheitsbewertung in Ländern mit niedriger Ressourcenlage</w:t>
      </w:r>
    </w:p>
    <w:p>
      <w:r>
        <w:rPr>
          <w:i/>
          <w:color w:val="666666"/>
          <w:sz w:val="18"/>
        </w:rPr>
        <w:t>Irawan AS et al.  ·  Front Public Health  ·  29.09.2026  ·  PMID 42871285</w:t>
      </w:r>
    </w:p>
    <w:p>
      <w:r>
        <w:t>Narrative Übersicht mit integrativem Konzept zur Bewertung digitaler Gesundheit in ressourcenschwachen Ländern, kombiniert Technologie-Benchmarking, Digital Health Literacy und Social-Media-Analyse an 15 ausgewählten Studien (2020–2026).</w:t>
      </w:r>
    </w:p>
    <w:p>
      <w:r>
        <w:rPr>
          <w:b/>
        </w:rPr>
        <w:t xml:space="preserve">Ergebnis: </w:t>
      </w:r>
      <w:r>
        <w:t>Der Rahmen zeigt, dass konventionelle App-Metriken allein unzureichend sind und multidimensionale Bewertungsansätze notwendig sind, die Kontext, Nutzerkompetenz und öffentliche Diskurse einbeziehen. Besondere Relevanz für mütterliche, Kinder- und Jugendgesundheit.</w:t>
      </w:r>
    </w:p>
    <w:p>
      <w:r>
        <w:rPr>
          <w:b/>
          <w:sz w:val="19"/>
        </w:rPr>
        <w:t xml:space="preserve">Übertragbarkeit: </w:t>
      </w:r>
      <w:r>
        <w:rPr>
          <w:sz w:val="19"/>
        </w:rPr>
        <w:t>Konzeptionelles Modell für Forschung und Politik, Systemunterschiede begrenzen direkte Übertragung</w:t>
      </w:r>
    </w:p>
    <w:p>
      <w:r>
        <w:rPr>
          <w:color w:val="5A7D3A"/>
          <w:sz w:val="18"/>
        </w:rPr>
        <w:t>https://pubmed.ncbi.nlm.nih.gov/42871285/</w:t>
      </w:r>
    </w:p>
    <w:p>
      <w:pPr>
        <w:pStyle w:val="Heading2"/>
      </w:pPr>
      <w:r>
        <w:t>Bessere Sexualgesundheits-Kompetenz fördert positive Familienplanungseinstellung</w:t>
      </w:r>
    </w:p>
    <w:p>
      <w:r>
        <w:rPr>
          <w:i/>
          <w:color w:val="666666"/>
          <w:sz w:val="18"/>
        </w:rPr>
        <w:t>Gürel R et al.  ·  Afr J Reprod Health  ·  14.10.2026  ·  PMID 42871112</w:t>
      </w:r>
    </w:p>
    <w:p>
      <w:r>
        <w:t>Türkische Querschnittstudie (n=370 junge Männer, 18–25 Jahre) zum Zusammenhang zwischen Sexual Health Literacy und Einstellung zur Familienplanung mittels FPAS und SHLS.</w:t>
      </w:r>
    </w:p>
    <w:p>
      <w:r>
        <w:rPr>
          <w:b/>
        </w:rPr>
        <w:t xml:space="preserve">Ergebnis: </w:t>
      </w:r>
      <w:r>
        <w:t>Schwach positive Korrelation zwischen Sexual Health Literacy und Familienplanungseinstellung (p &lt; 0,05). Regressionsanalyse zeigte, dass die Variablen 20 % der Varianz in Familienplanungseinstellungen erklärten (R² = 0,20). Verbesserung der Sexual Health Literacy kann positive Einstellungen junger Männer zur Familienplanung beeinflussen.</w:t>
      </w:r>
    </w:p>
    <w:p>
      <w:r>
        <w:rPr>
          <w:b/>
          <w:sz w:val="19"/>
        </w:rPr>
        <w:t xml:space="preserve">Übertragbarkeit: </w:t>
      </w:r>
      <w:r>
        <w:rPr>
          <w:sz w:val="19"/>
        </w:rPr>
        <w:t>Türkei, ähnliche Versorgungsstruktur wie südosteuropäische Nachbarn Deutschlands</w:t>
      </w:r>
    </w:p>
    <w:p>
      <w:r>
        <w:rPr>
          <w:color w:val="5A7D3A"/>
          <w:sz w:val="18"/>
        </w:rPr>
        <w:t>https://pubmed.ncbi.nlm.nih.gov/42871112/</w:t>
      </w:r>
    </w:p>
    <w:p>
      <w:pPr>
        <w:pStyle w:val="Heading2"/>
      </w:pPr>
      <w:r>
        <w:t>Höheres Alter, nicht Krebserkrankung, senkt die eHealth Literacy</w:t>
      </w:r>
    </w:p>
    <w:p>
      <w:r>
        <w:rPr>
          <w:i/>
          <w:color w:val="666666"/>
          <w:sz w:val="18"/>
        </w:rPr>
        <w:t>Kongshaug N et al.  ·  JCO Clin Cancer Inform  ·  09.10.2026  ·  PMID 42854113</w:t>
      </w:r>
    </w:p>
    <w:p>
      <w:r>
        <w:t>Querschnittstudie zur Messung der eHealth Literacy mittels eHLQ-Fragebogen bei 248 Krebspatienten in aktiver Chemotherapie oder kürzlich behandelt in drei norwegischen Ambulanzen.</w:t>
      </w:r>
    </w:p>
    <w:p>
      <w:r>
        <w:rPr>
          <w:b/>
        </w:rPr>
        <w:t xml:space="preserve">Ergebnis: </w:t>
      </w:r>
      <w:r>
        <w:t>eHealth-Literacy-Werte schwankten zwischen 2,72 und 3,14 auf einer Skala (SD 0,42–0,62). Höheres Alter war der stärkste Prädiktor für niedrigere eHealth Literacy (signifikant), Geschlecht zeigte keinen Unterschied, und der Zusammenhang zwischen niedriger Bildung/Einkommen und niedriger eHealth Literacy verschwand nach Altersanpassung. Eine schwere Erkrankung oder Chemotherapie beeinflussen die digitale Gesundheitskompetenz nicht substanziell.</w:t>
      </w:r>
    </w:p>
    <w:p>
      <w:r>
        <w:rPr>
          <w:b/>
          <w:sz w:val="19"/>
        </w:rPr>
        <w:t xml:space="preserve">Übertragbarkeit: </w:t>
      </w:r>
      <w:r>
        <w:rPr>
          <w:sz w:val="19"/>
        </w:rPr>
        <w:t>Skandinavien mit Gatekeeping-System, begrenzte direkte Übertragung auf deutsche Versorgungsstrukturen</w:t>
      </w:r>
    </w:p>
    <w:p>
      <w:r>
        <w:rPr>
          <w:color w:val="5A7D3A"/>
          <w:sz w:val="18"/>
        </w:rPr>
        <w:t>https://pubmed.ncbi.nlm.nih.gov/42854113/</w:t>
      </w:r>
    </w:p>
    <w:p>
      <w:pPr>
        <w:pStyle w:val="Heading2"/>
      </w:pPr>
      <w:r>
        <w:t>Rassendiskriminierung und Health Literacy beeinflussen Vertrauen in COVID-Impfstoffe</w:t>
      </w:r>
    </w:p>
    <w:p>
      <w:r>
        <w:rPr>
          <w:i/>
          <w:color w:val="666666"/>
          <w:sz w:val="18"/>
        </w:rPr>
        <w:t>Beogo I et al.  ·  Vaccine  ·  14.11.2026  ·  PMID 42832932</w:t>
      </w:r>
    </w:p>
    <w:p>
      <w:r>
        <w:t>Kanadische Querschnittstudie (n=581, 55+ Jahre) zu Wahrnehmung der COVID-19-Impfstoffwirksamkeit nach ethnischer Herkunft und deren Zusammenhang mit Diskriminungserfahrungen und Health Literacy.</w:t>
      </w:r>
    </w:p>
    <w:p>
      <w:r>
        <w:rPr>
          <w:b/>
        </w:rPr>
        <w:t xml:space="preserve">Ergebnis: </w:t>
      </w:r>
      <w:r>
        <w:t>Rassenbedingte Diskriminierung war der stärkste Prädiktor für niedrigere wahrgenommene Impfstoffwirksamkeit (β = −0,42, p = 0,006), gefolgt von Health Literacy (β = 0,09, p = 0,002) und Schwarzsein versus Weiß-Sein (β = −1,49, p = 0,020). Asiatische und weiße Teilnehmende bewerteten Impfstoffe signifikant besser als schwarze und indigene Teilnehmende (F = 2,88, p = 0,009).</w:t>
      </w:r>
    </w:p>
    <w:p>
      <w:r>
        <w:rPr>
          <w:b/>
          <w:sz w:val="19"/>
        </w:rPr>
        <w:t xml:space="preserve">Übertragbarkeit: </w:t>
      </w:r>
      <w:r>
        <w:rPr>
          <w:sz w:val="19"/>
        </w:rPr>
        <w:t>Kanada mit ähnlichem Versicherungssystem, Erkenntnis zu Ungleichheiten übertragbar auf Deutschland</w:t>
      </w:r>
    </w:p>
    <w:p>
      <w:r>
        <w:rPr>
          <w:color w:val="5A7D3A"/>
          <w:sz w:val="18"/>
        </w:rPr>
        <w:t>https://pubmed.ncbi.nlm.nih.gov/42832932/</w:t>
      </w:r>
    </w:p>
    <w:p>
      <w:pPr>
        <w:pStyle w:val="Heading2"/>
      </w:pPr>
      <w:r>
        <w:t>Gesundheitswahrnehmung ist stärkster Treiber für Inanspruchnahme psychologischer Hilfe</w:t>
      </w:r>
    </w:p>
    <w:p>
      <w:r>
        <w:rPr>
          <w:i/>
          <w:color w:val="666666"/>
          <w:sz w:val="18"/>
        </w:rPr>
        <w:t>Dilmen Bayar B et al.  ·  Medicine (Baltimore)  ·  25.09.2026  ·  PMID 42798053</w:t>
      </w:r>
    </w:p>
    <w:p>
      <w:r>
        <w:t>Türkische Querschnittsstudie (n=398) in der multikulturellen Stadt Mardin zum Zusammenhang zwischen Mental Health Literacy, Gesundheitswahrnehmung und Bereitschaft, professionelle psychologische Hilfe zu suchen, in vier ethnischen Gruppen (Assyrisch, Türkisch, Arabisch, Kurdisch).</w:t>
      </w:r>
    </w:p>
    <w:p>
      <w:r>
        <w:rPr>
          <w:b/>
        </w:rPr>
        <w:t xml:space="preserve">Ergebnis: </w:t>
      </w:r>
      <w:r>
        <w:t>Ethnic-Gruppen unterschieden sich signifikant in Mental Health Literacy, Gesundheitswahrnehmung und Hilfsuchbereitschaft (alle p &lt; 0,05). Gesundheitswahrnehmung war der stärkste Prädiktor für Hilfsuchbereitschaft (β = 0,666, p &lt; 0,001), Mental Health Literacy war schwach positiv korreliert (r = 0,138, p = 0,006). Das Regressionsmodell erklärte 41,5 % der Varianz in Hilfsuchbereitschaft (R² = 0,415).</w:t>
      </w:r>
    </w:p>
    <w:p>
      <w:r>
        <w:rPr>
          <w:b/>
          <w:sz w:val="19"/>
        </w:rPr>
        <w:t xml:space="preserve">Übertragbarkeit: </w:t>
      </w:r>
      <w:r>
        <w:rPr>
          <w:sz w:val="19"/>
        </w:rPr>
        <w:t>Türkei, multikultureller Kontext mit teilweise vergleichbaren Bevölkerungsdynamiken wie deutsche Großstädte</w:t>
      </w:r>
    </w:p>
    <w:p>
      <w:r>
        <w:rPr>
          <w:color w:val="5A7D3A"/>
          <w:sz w:val="18"/>
        </w:rPr>
        <w:t>https://pubmed.ncbi.nlm.nih.gov/42798053/</w:t>
      </w:r>
    </w:p>
    <w:p>
      <w:pPr>
        <w:pStyle w:val="Heading2"/>
      </w:pPr>
      <w:r>
        <w:t>Videounterstützte Aufklärung verkürzt OP-Gespräche ohne Verständnisverlust</w:t>
      </w:r>
    </w:p>
    <w:p>
      <w:r>
        <w:rPr>
          <w:i/>
          <w:color w:val="666666"/>
          <w:sz w:val="18"/>
        </w:rPr>
        <w:t>Leicht SGPD et al.  ·  World J Surg  ·  05.09.2026  ·  PMID 42699982</w:t>
      </w:r>
    </w:p>
    <w:p>
      <w:r>
        <w:t>Vergleich von videogestützter versus ärztlicher Aufklärung vor elektiven Bauchoperationen (Cholezystektomie, Kolonresektion) zur Messung von Gesprächsdauer, Patientenverständnis und Zufriedenheit.</w:t>
      </w:r>
    </w:p>
    <w:p>
      <w:r>
        <w:rPr>
          <w:b/>
        </w:rPr>
        <w:t xml:space="preserve">Ergebnis: </w:t>
      </w:r>
      <w:r>
        <w:t>Videogestützte Aufklärung reduzierte die ärztliche Gesprächszeit erheblich (Cholezystektomie: 1,5 vs. 8,1 Min., Kolonresektion: 3,3 vs. 11,9 Min.), ohne dass Patientenverständnis, -zufriedenheit oder postoperative Schmerzen beeinträchtigt wurden. Ärzte waren mit dem videogestützten Prozess hochzufrieden. Ein vielversprechender Weg, digitale Innovationen in der Aufklärungspraxis zu nutzen.</w:t>
      </w:r>
    </w:p>
    <w:p>
      <w:r>
        <w:rPr>
          <w:b/>
          <w:sz w:val="19"/>
        </w:rPr>
        <w:t xml:space="preserve">Übertragbarkeit: </w:t>
      </w:r>
      <w:r>
        <w:rPr>
          <w:sz w:val="19"/>
        </w:rPr>
        <w:t>Deutschland: Universitätsklinik Würzburg, vergleichbares Rechtssystem und Aufklärungspflichten</w:t>
      </w:r>
    </w:p>
    <w:p>
      <w:r>
        <w:rPr>
          <w:color w:val="5A7D3A"/>
          <w:sz w:val="18"/>
        </w:rPr>
        <w:t>https://pubmed.ncbi.nlm.nih.gov/42699982/</w:t>
      </w:r>
    </w:p>
    <w:p>
      <w:pPr>
        <w:pStyle w:val="Heading1"/>
      </w:pPr>
      <w:r>
        <w:t>Aufgenommen am 14.10.2026</w:t>
      </w:r>
    </w:p>
    <w:p>
      <w:pPr>
        <w:pStyle w:val="Heading2"/>
      </w:pPr>
      <w:r>
        <w:t>Kurzvideo verbessert Verständnis von Tumor-Genomtestung dauerhaft</w:t>
      </w:r>
    </w:p>
    <w:p>
      <w:r>
        <w:rPr>
          <w:i/>
          <w:color w:val="666666"/>
          <w:sz w:val="18"/>
        </w:rPr>
        <w:t>Veney DJ et al.  ·  PLoS One  ·  13.10.2026  ·  PMID 42868120</w:t>
      </w:r>
    </w:p>
    <w:p>
      <w:r>
        <w:t>Quantitative Studie mit 203 Krebspatienten in akademischen und Gemeinschaftspraxen in den USA, die die Wirkung eines 3-4 Minuten langen Erklärvideos vor Genomtestung untersuchte.</w:t>
      </w:r>
    </w:p>
    <w:p>
      <w:r>
        <w:rPr>
          <w:b/>
        </w:rPr>
        <w:t xml:space="preserve">Ergebnis: </w:t>
      </w:r>
      <w:r>
        <w:t>Videogestütztes Wissen (VMSK) verbesserte sich signifikant vom Zeitpunkt vor Video (T1) über direkt danach (T2) bis nach Ergebnis (T3), mit p&lt;0,0001. Bei vier spezifischen Fragen zu Behandlungsfolgen, Zufallsbefunden und Kostenübernahme war die Verbesserung deutlich (alle p≤0,0001). Objektives genetisches Wissen (GKU) änderte sich nicht (p=0,41). Die Wirkung war konsistent in akademischen und Gemeinschaftspraxen sowie über alle Krebsarten hinweg.</w:t>
      </w:r>
    </w:p>
    <w:p>
      <w:r>
        <w:rPr>
          <w:b/>
          <w:sz w:val="19"/>
        </w:rPr>
        <w:t xml:space="preserve">Übertragbarkeit: </w:t>
      </w:r>
      <w:r>
        <w:rPr>
          <w:sz w:val="19"/>
        </w:rPr>
        <w:t>USA; Videoformat und Inhalte müssen für deutsche Fachsprache und Versicherungssystem adaptiert werden</w:t>
      </w:r>
    </w:p>
    <w:p>
      <w:r>
        <w:rPr>
          <w:color w:val="5A7D3A"/>
          <w:sz w:val="18"/>
        </w:rPr>
        <w:t>https://pubmed.ncbi.nlm.nih.gov/42868120/</w:t>
      </w:r>
    </w:p>
    <w:p>
      <w:pPr>
        <w:pStyle w:val="Heading2"/>
      </w:pPr>
      <w:r>
        <w:t>Schulung stärkt Gesundheitskompetenz von Pflegefachpersonen – erste Messresultate aus China</w:t>
      </w:r>
    </w:p>
    <w:p>
      <w:r>
        <w:rPr>
          <w:i/>
          <w:color w:val="666666"/>
          <w:sz w:val="18"/>
        </w:rPr>
        <w:t>Bao X et al.  ·  Front Public Health  ·  28.09.2026  ·  PMID 42865762</w:t>
      </w:r>
    </w:p>
    <w:p>
      <w:r>
        <w:t>Methodische Studie mit 647 Pflegefachpersonen aus Krankenhäusern in China, die eine Skala zur Erfassung von Gesundheitskompetenz bei Pflegenden entwickelte und in einer Querschnittserhebung anwendete.</w:t>
      </w:r>
    </w:p>
    <w:p>
      <w:r>
        <w:rPr>
          <w:b/>
        </w:rPr>
        <w:t xml:space="preserve">Ergebnis: </w:t>
      </w:r>
      <w:r>
        <w:t>Die finale 39-Item-Skala mit fünf Dimensionen erklärte 72,6% der Varianz mit gutem Modellfit (χ²/df=2,223, RMSEA=0,056). Die Gesamtskala Cronbachs α war 0,958. Bei 647 befragten Pflegefachpersonen lag der mittlere Score bei 154,41 (SD 20,60). In der Regressionsanalyse waren unabhängige Prädiktoren: Gesundheitsstatus (β=0,087, p=0,024), Gesundheitskompetenz-Schulung (β=0,164, p=0,001) und Kompetenzschulung (β=0,122, p=0,012). Diese erklärten 7,8% der Varianz.</w:t>
      </w:r>
    </w:p>
    <w:p>
      <w:r>
        <w:rPr>
          <w:b/>
          <w:sz w:val="19"/>
        </w:rPr>
        <w:t xml:space="preserve">Übertragbarkeit: </w:t>
      </w:r>
      <w:r>
        <w:rPr>
          <w:sz w:val="19"/>
        </w:rPr>
        <w:t>China; Skalenkonstruktion für deutsches Nursing-Assessment möglich, aber Kontextualisierung erforderlich</w:t>
      </w:r>
    </w:p>
    <w:p>
      <w:r>
        <w:rPr>
          <w:color w:val="5A7D3A"/>
          <w:sz w:val="18"/>
        </w:rPr>
        <w:t>https://pubmed.ncbi.nlm.nih.gov/42865762/</w:t>
      </w:r>
    </w:p>
    <w:p>
      <w:pPr>
        <w:pStyle w:val="Heading2"/>
      </w:pPr>
      <w:r>
        <w:t>Beteiligung von Patienten in der Arzneimittelentwicklung: Motive analysieren, Hürden erkennen</w:t>
      </w:r>
    </w:p>
    <w:p>
      <w:r>
        <w:rPr>
          <w:i/>
          <w:color w:val="666666"/>
          <w:sz w:val="18"/>
        </w:rPr>
        <w:t>Frost J et al.  ·  Sociol Health Illn  ·  Nov. 2026  ·  PMID 42865318</w:t>
      </w:r>
    </w:p>
    <w:p>
      <w:r>
        <w:t>Ethnografische Studie mit Biotechnologieunternehmen (200 Stunden informelle, 50 Stunden formelle Beobachtung, 10 Interviews, Dokumentenanalyse), die die Motive und praktischen Barrieren für Patientenbeteiligung während der Arzneimittelentwicklung untersuchte.</w:t>
      </w:r>
    </w:p>
    <w:p>
      <w:r>
        <w:rPr>
          <w:b/>
        </w:rPr>
        <w:t xml:space="preserve">Ergebnis: </w:t>
      </w:r>
      <w:r>
        <w:t>Unternehmen nennen mehrere Motive für Patientenbeteiligung: regulatorische Anforderungen, Corporate Social Responsibility und Return-on-Investment. Die Analyse zeigte aber systematische Lücken: Es fehlte eine Strategie, diese Motive in ein Framework zu übersetzen, das nachhaltige Beteiligung im Zeitverlauf sichert. Barrieren sind die dynamische Natur der Pipeline, begrenzte zeitliche Fenster und falsche Vorstellungen über Engagement-Mechanismen. Die Studie identifizierte Praktiken in Entwicklungs- und Industrieprozessen, die sinnvolle Beteiligung behindern.</w:t>
      </w:r>
    </w:p>
    <w:p>
      <w:r>
        <w:rPr>
          <w:b/>
          <w:sz w:val="19"/>
        </w:rPr>
        <w:t xml:space="preserve">Übertragbarkeit: </w:t>
      </w:r>
      <w:r>
        <w:rPr>
          <w:sz w:val="19"/>
        </w:rPr>
        <w:t>Großbritannien mit Patientenperspektive; Erkenntnisse zu institutionellen Barrieren auf deutsche Versorgungsforschung übertragbar</w:t>
      </w:r>
    </w:p>
    <w:p>
      <w:r>
        <w:rPr>
          <w:color w:val="5A7D3A"/>
          <w:sz w:val="18"/>
        </w:rPr>
        <w:t>https://pubmed.ncbi.nlm.nih.gov/42865318/</w:t>
      </w:r>
    </w:p>
    <w:p>
      <w:pPr>
        <w:pStyle w:val="Heading2"/>
      </w:pPr>
      <w:r>
        <w:t>Psychoedukation mit motivierender Gesprächsführung verbessert Wissen und Hoffnung bei Schizophrenie</w:t>
      </w:r>
    </w:p>
    <w:p>
      <w:r>
        <w:rPr>
          <w:i/>
          <w:color w:val="666666"/>
          <w:sz w:val="18"/>
        </w:rPr>
        <w:t>Taşkıner B et al.  ·  Arch Psychiatr Nurs  ·  27.08.2026  ·  PMID 42863921</w:t>
      </w:r>
    </w:p>
    <w:p>
      <w:r>
        <w:t>Randomisierte kontrollierte Studie mit 44 Personen mit Schizophrenie in der Türkei, die untersuchte, ob ein kombiniertes Programm aus Psychoedukation und motivierender Gesprächsführung das krankheitsbezogene Wissen und die Hoffnung verbessert.</w:t>
      </w:r>
    </w:p>
    <w:p>
      <w:r>
        <w:rPr>
          <w:b/>
        </w:rPr>
        <w:t xml:space="preserve">Ergebnis: </w:t>
      </w:r>
      <w:r>
        <w:t>Die Interventionsgruppe (n=21) zeigte nach dem Programm signifikante Verbesserungen in krankheitsbezogenem Wissen (F=176,060, p&lt;0,001, η²=0,898) und Hoffnung (F=99,782, p&lt;0,001, η²=0,833), die sich ein Monat später erhielten. Die Kontrollgruppe (n=23) ohne Intervention zeigte diese Verbesserungen nicht.</w:t>
      </w:r>
    </w:p>
    <w:p>
      <w:r>
        <w:rPr>
          <w:b/>
          <w:sz w:val="19"/>
        </w:rPr>
        <w:t xml:space="preserve">Übertragbarkeit: </w:t>
      </w:r>
      <w:r>
        <w:rPr>
          <w:sz w:val="19"/>
        </w:rPr>
        <w:t>Türkei, psychiatrischer Gemeindedienst; Schulungsmodell prinzipiell übertragbar auf deutsches Gesundheitswesen</w:t>
      </w:r>
    </w:p>
    <w:p>
      <w:r>
        <w:rPr>
          <w:color w:val="5A7D3A"/>
          <w:sz w:val="18"/>
        </w:rPr>
        <w:t>https://pubmed.ncbi.nlm.nih.gov/42863921/</w:t>
      </w:r>
    </w:p>
    <w:p>
      <w:pPr>
        <w:pStyle w:val="Heading2"/>
      </w:pPr>
      <w:r>
        <w:t>Wie Gesundheitskompetenz über Verhalten und Psyche die Lebensqualität beeinflusst</w:t>
      </w:r>
    </w:p>
    <w:p>
      <w:r>
        <w:rPr>
          <w:i/>
          <w:color w:val="666666"/>
          <w:sz w:val="18"/>
        </w:rPr>
        <w:t>Poonthananiwatkul B et al.  ·  Health Lit Res Pract  ·  09.10.2026  ·  PMID 42858453</w:t>
      </w:r>
    </w:p>
    <w:p>
      <w:r>
        <w:t>Strukturgleichungsmodell mit 360 arbeitsfähigen Erwachsenen (15–59 Jahre) in Thailand, das die Pfade untersuchte, über die Gesundheitskompetenz auf Lebensqualität wirkt.</w:t>
      </w:r>
    </w:p>
    <w:p>
      <w:r>
        <w:rPr>
          <w:b/>
        </w:rPr>
        <w:t xml:space="preserve">Ergebnis: </w:t>
      </w:r>
      <w:r>
        <w:t>Gesundheitsverhalten und psychische Gesundheit hatten signifikante direkte positive Effekte auf Lebensqualität (β=0,315, p&lt;0,001; β=0,860, p&lt;0,001). Gesundheitskompetenz wirkte signifikant positiv auf Verhalten (β=0,396, p&lt;0,001) und psychische Gesundheit (β=0,391, p&lt;0,001) und indirekt auf Lebensqualität (β=0,464, p&lt;0,001). Das Modell erklärte 92% der Varianz in Lebensqualität mit ausgezeichnetem Fit (χ²/df=1,249, p=0,070, RMSEA=0,026, CFI=0,995). Ein sequenzieller Pfad wurde beobachtet: Gesundheitskompetenz → Verhalten → psychische Gesundheit → Lebensqualität.</w:t>
      </w:r>
    </w:p>
    <w:p>
      <w:r>
        <w:rPr>
          <w:b/>
          <w:sz w:val="19"/>
        </w:rPr>
        <w:t xml:space="preserve">Übertragbarkeit: </w:t>
      </w:r>
      <w:r>
        <w:rPr>
          <w:sz w:val="19"/>
        </w:rPr>
        <w:t>Thailand; Modellstruktur zeigt theoretische Anknüpfungspunkte für deutsche Interventionen, aber kulturelle Kontextualisierung nötig</w:t>
      </w:r>
    </w:p>
    <w:p>
      <w:r>
        <w:rPr>
          <w:color w:val="5A7D3A"/>
          <w:sz w:val="18"/>
        </w:rPr>
        <w:t>https://pubmed.ncbi.nlm.nih.gov/42858453/</w:t>
      </w:r>
    </w:p>
    <w:p>
      <w:pPr>
        <w:pStyle w:val="Heading2"/>
      </w:pPr>
      <w:r>
        <w:t>Generative KI in der Patientenbeteiligung: Risiken erkennen, Regeln setzen</w:t>
      </w:r>
    </w:p>
    <w:p>
      <w:r>
        <w:rPr>
          <w:i/>
          <w:color w:val="666666"/>
          <w:sz w:val="18"/>
        </w:rPr>
        <w:t>Lammons W et al.  ·  J Med Internet Res  ·  30.09.2026  ·  PMID 42852573</w:t>
      </w:r>
    </w:p>
    <w:p>
      <w:r>
        <w:t>Stellungnahme von PPIE-Fachleuten (Patient and Public Involvement and Engagement) in Großbritannien, die die Risiken und Chancen generativer KI für die authentische Rolle von Patienten in Gesundheitsforschung und -politik analysiert.</w:t>
      </w:r>
    </w:p>
    <w:p>
      <w:r>
        <w:rPr>
          <w:b/>
        </w:rPr>
        <w:t xml:space="preserve">Ergebnis: </w:t>
      </w:r>
      <w:r>
        <w:t>Vier Risiken werden benannt: KI kann verzerrte oder falsche Outputs produzieren, die Ungleichheit verstärken, Patientenstimmen minimieren oder ersetzen und Lernprozesse einengen. Als Chancen werden schnellere Diagnostik und Barrierefreiheit genannt. Die Autoren stellen eine Checkliste bereit mit pragmatischen Anforderungen an ethische KI-Nutzung in PPIE-Kontexten.</w:t>
      </w:r>
    </w:p>
    <w:p>
      <w:r>
        <w:rPr>
          <w:b/>
          <w:sz w:val="19"/>
        </w:rPr>
        <w:t xml:space="preserve">Übertragbarkeit: </w:t>
      </w:r>
      <w:r>
        <w:rPr>
          <w:sz w:val="19"/>
        </w:rPr>
        <w:t>Großbritannien, NHS-Kontext; Fragenstellung zur Authentizität von Patientenstimmen systemübergreifend relevant</w:t>
      </w:r>
    </w:p>
    <w:p>
      <w:r>
        <w:rPr>
          <w:color w:val="5A7D3A"/>
          <w:sz w:val="18"/>
        </w:rPr>
        <w:t>https://pubmed.ncbi.nlm.nih.gov/42852573/</w:t>
      </w:r>
    </w:p>
    <w:p>
      <w:pPr>
        <w:pStyle w:val="Heading1"/>
      </w:pPr>
      <w:r>
        <w:t>Aufgenommen am 13.10.2026</w:t>
      </w:r>
    </w:p>
    <w:p>
      <w:pPr>
        <w:pStyle w:val="Heading2"/>
      </w:pPr>
      <w:r>
        <w:t>CollaboRATE-5 misst Patientenbeteiligung an Entscheidungen reliabel – auch in Türkei</w:t>
      </w:r>
    </w:p>
    <w:p>
      <w:r>
        <w:rPr>
          <w:i/>
          <w:color w:val="666666"/>
          <w:sz w:val="18"/>
        </w:rPr>
        <w:t>Toçoğlu M et al.  ·  J Eval Clin Pract  ·  Okt. 2026  ·  PMID 42862937</w:t>
      </w:r>
    </w:p>
    <w:p>
      <w:r>
        <w:t>Methodische Studie zur Adaptation und psychometrischen Validierung der 5-Item-Skala CollaboRATE-5 für türkische Diabetespatienten (n=200) zur Erfassung wahrgenommener Shared Decision-Making.</w:t>
      </w:r>
    </w:p>
    <w:p>
      <w:r>
        <w:rPr>
          <w:b/>
        </w:rPr>
        <w:t xml:space="preserve">Ergebnis: </w:t>
      </w:r>
      <w:r>
        <w:t>Cronbach's α=0,918 (hohe innere Konsistenz). Test-Retest-Reliabilität ICC=0,892 (n=65). Item-Gesamt-Korrelationen 0,776–0,866. Standardisierte Faktorladungen 0,872–0,986. Mittleres Score 9,51±2,22 (Range 0–12), 31,5% erreichten Maximalwert. Inverse Korrelation mit Decisional Conflict Scale (rs=−0,641; p&lt;0,001). Höhere Scores assoziiert mit höherer Bildung, besserer Gesundheitswahrnehmung, männlichem Geschlecht (alle p&lt;0,01). Strukturelle Validität in just-identified Modell nicht unabhängig bestätigt, aber insgesamt Reliabilität und Konstruktvalidität unterstützt.</w:t>
      </w:r>
    </w:p>
    <w:p>
      <w:r>
        <w:rPr>
          <w:b/>
          <w:sz w:val="19"/>
        </w:rPr>
        <w:t xml:space="preserve">Übertragbarkeit: </w:t>
      </w:r>
      <w:r>
        <w:rPr>
          <w:sz w:val="19"/>
        </w:rPr>
        <w:t>Türkei, aber CollaboRATE-5 international validierter Standard – Ergebnis auf Deutschland übertragbar</w:t>
      </w:r>
    </w:p>
    <w:p>
      <w:r>
        <w:rPr>
          <w:color w:val="5A7D3A"/>
          <w:sz w:val="18"/>
        </w:rPr>
        <w:t>https://pubmed.ncbi.nlm.nih.gov/42862937/</w:t>
      </w:r>
    </w:p>
    <w:p>
      <w:pPr>
        <w:pStyle w:val="Heading2"/>
      </w:pPr>
      <w:r>
        <w:t>Strukturierte Stillvorbereitung erhöht Stillquoten und reduziert Stillkomplikationen</w:t>
      </w:r>
    </w:p>
    <w:p>
      <w:r>
        <w:rPr>
          <w:i/>
          <w:color w:val="666666"/>
          <w:sz w:val="18"/>
        </w:rPr>
        <w:t>Zhang C et al.  ·  J Obstet Gynaecol  ·  12.10.2026  ·  PMID 42862704</w:t>
      </w:r>
    </w:p>
    <w:p>
      <w:r>
        <w:t>Eine Studie verglich Frauen mit multikomponentenem Schulungsprogramm (Wissen, Einstellungen, praktische Fähigkeiten) gegen Standardvorbereitung auf Stilleergebnis und Selbstwirksamkeit.</w:t>
      </w:r>
    </w:p>
    <w:p>
      <w:r>
        <w:rPr>
          <w:b/>
        </w:rPr>
        <w:t xml:space="preserve">Ergebnis: </w:t>
      </w:r>
      <w:r>
        <w:t>Die Interventionsgruppe erreichte höhere Wissens-Einstellungs-Praktiken-Scores (80,8±5,6 vs. 63,4±6,9; p&lt;0,001), bessere Stillselbstwirksamkeit (58,2±4,8 vs. 48,6±5,4; p&lt;0,001) und signifikant höhere Quote ausschließlichen Stillens nach 6 Monaten (55,9% vs. 31,6%; p&lt;0,001); Morbidität (Brustwarzentrauma, Stauung, Mastitis) war deutlich reduziert (alle p&lt;0,01). Expositionsgruppe zeigte unabhängig erhöhte Chancen für Stillen nach 6 Monaten (adjustierte OR 2,84; 95%-CI 1,98–4,07).</w:t>
      </w:r>
    </w:p>
    <w:p>
      <w:r>
        <w:rPr>
          <w:b/>
          <w:sz w:val="19"/>
        </w:rPr>
        <w:t xml:space="preserve">Übertragbarkeit: </w:t>
      </w:r>
      <w:r>
        <w:rPr>
          <w:sz w:val="19"/>
        </w:rPr>
        <w:t>China - Aussagen zur Stillförderung durch Wissen und Selbstwirksamkeit kulturunabhängig, Schulungsformat anpassbar</w:t>
      </w:r>
    </w:p>
    <w:p>
      <w:r>
        <w:rPr>
          <w:color w:val="5A7D3A"/>
          <w:sz w:val="18"/>
        </w:rPr>
        <w:t>https://pubmed.ncbi.nlm.nih.gov/42862704/</w:t>
      </w:r>
    </w:p>
    <w:p>
      <w:pPr>
        <w:pStyle w:val="Heading2"/>
      </w:pPr>
      <w:r>
        <w:t>Patientenbeteiligung in Forschung gelingt – braucht aber Struktur und kontinuierliche Information</w:t>
      </w:r>
    </w:p>
    <w:p>
      <w:r>
        <w:rPr>
          <w:i/>
          <w:color w:val="666666"/>
          <w:sz w:val="18"/>
        </w:rPr>
        <w:t>Reeck N et al.  ·  Health Expect  ·  Okt. 2026  ·  PMID 42861438</w:t>
      </w:r>
    </w:p>
    <w:p>
      <w:r>
        <w:t>Qualitative Evaluationsstudie zur Beteiligung von 8 älteren Forschungskollaborateuren mit Sturzerfahrung über 3 Jahre mit dem Public and Patient Engagement Evaluation Tool (PPEET) und Prozessdokumentation.</w:t>
      </w:r>
    </w:p>
    <w:p>
      <w:r>
        <w:rPr>
          <w:b/>
        </w:rPr>
        <w:t xml:space="preserve">Ergebnis: </w:t>
      </w:r>
      <w:r>
        <w:t>8 ältere Personen, 29 Sitzungen über 3 Jahre. Positive Atmosphäre, aber initial Unklarheit über Ziele. Gesundheitsbedingte Ausfälle führten zur Aufnahme von 3 neuen Mitgliedern. PRT beeinflusste mehrere Forschungsphasen (z.B. Fokusgruppenmethode). Kernbefunde: Persönlicher Zugang, Zeit für Erfahrungsaustausch und kontinuierliche Information als kritische Erfolgsfaktoren; infrastrukturelle Unterstützung war vorhanden, aber Informationsstrukturen für Mitglieder müssen gestärkt werden.</w:t>
      </w:r>
    </w:p>
    <w:p>
      <w:r>
        <w:rPr>
          <w:b/>
          <w:sz w:val="19"/>
        </w:rPr>
        <w:t xml:space="preserve">Übertragbarkeit: </w:t>
      </w:r>
      <w:r>
        <w:rPr>
          <w:sz w:val="19"/>
        </w:rPr>
        <w:t>Deutschland, vergleichbares System – partizipative Forschung übertragbar, erfordert aber Kontinuität und klare Rollen</w:t>
      </w:r>
    </w:p>
    <w:p>
      <w:r>
        <w:rPr>
          <w:color w:val="5A7D3A"/>
          <w:sz w:val="18"/>
        </w:rPr>
        <w:t>https://pubmed.ncbi.nlm.nih.gov/42861438/</w:t>
      </w:r>
    </w:p>
    <w:p>
      <w:pPr>
        <w:pStyle w:val="Heading2"/>
      </w:pPr>
      <w:r>
        <w:t>Gesundheitskompetenz korreliert schwach mit Lebensqualität – Organisationsebene entscheidend</w:t>
      </w:r>
    </w:p>
    <w:p>
      <w:r>
        <w:rPr>
          <w:i/>
          <w:color w:val="666666"/>
          <w:sz w:val="18"/>
        </w:rPr>
        <w:t>Mostoles RJ et al.  ·  J Nurs Manag  ·  2026  ·  PMID 42860772</w:t>
      </w:r>
    </w:p>
    <w:p>
      <w:r>
        <w:t>Querschnittsstudie mit 215 Dialysepatienten in Saudi-Arabien zur Assoziation von Health Literacy und wahrgenommener Familienunterstützung mit nierenbezogener Lebensqualität sowie Implikationen für Pflegeleitung.</w:t>
      </w:r>
    </w:p>
    <w:p>
      <w:r>
        <w:rPr>
          <w:b/>
        </w:rPr>
        <w:t xml:space="preserve">Ergebnis: </w:t>
      </w:r>
      <w:r>
        <w:t>Health Literacy war einziger signifikanter Prädiktor (β=0,19; p=0,012), erklärte aber &lt;7% der Lebensqualitätsvarianz (R²=0,068). Wahrgenommene Familienunterstützung war an der Decke (M=6,99/7,0) und nicht assoziiert (r=−0,09; p=0,188). 91,7% der Patienten hatten geringe Health Literacy; 81,9% wählten verbale statt schriftlicher Information während Dialyse. Schlussfolgerung: Organisatorische Maßnahmen (universelles Teach-Back, Plain Language, Visualisierung) statt Individualinterventionen erforderlich.</w:t>
      </w:r>
    </w:p>
    <w:p>
      <w:r>
        <w:rPr>
          <w:b/>
          <w:sz w:val="19"/>
        </w:rPr>
        <w:t xml:space="preserve">Übertragbarkeit: </w:t>
      </w:r>
      <w:r>
        <w:rPr>
          <w:sz w:val="19"/>
        </w:rPr>
        <w:t>Saudi-Arabien – Strukturelle Unterschiede (Familienzentrierung, Ressourcen), aber Befund zu organisatorischer Verantwortung übertragbar</w:t>
      </w:r>
    </w:p>
    <w:p>
      <w:r>
        <w:rPr>
          <w:color w:val="5A7D3A"/>
          <w:sz w:val="18"/>
        </w:rPr>
        <w:t>https://pubmed.ncbi.nlm.nih.gov/42860772/</w:t>
      </w:r>
    </w:p>
    <w:p>
      <w:pPr>
        <w:pStyle w:val="Heading2"/>
      </w:pPr>
      <w:r>
        <w:t>Health-Literacy-Interventionsstudien sind lückenhaft – standardisierte Messung und Implementierungsberichte fehlen</w:t>
      </w:r>
    </w:p>
    <w:p>
      <w:r>
        <w:rPr>
          <w:i/>
          <w:color w:val="666666"/>
          <w:sz w:val="18"/>
        </w:rPr>
        <w:t>Zhou Y et al.  ·  Health Lit Res Pract  ·  09.10.2026  ·  PMID 42858454</w:t>
      </w:r>
    </w:p>
    <w:p>
      <w:r>
        <w:t>Scoping Review von 117 US-amerikanischen Interventionsstudien (2014–2024) zur Kartierung von Health-Literacy-Messinstrumenten, Implementierungsqualität und Reporting-Praktiken nach RE-AIM-Rahmen.</w:t>
      </w:r>
    </w:p>
    <w:p>
      <w:r>
        <w:rPr>
          <w:b/>
        </w:rPr>
        <w:t xml:space="preserve">Ergebnis: </w:t>
      </w:r>
      <w:r>
        <w:t>71 von 117 Studien berichteten Health-Literacy-Messung; nur 49 nutzten validierte Instrumente. Am häufigsten: Newest Vital Sign, eHealth Literacy Scale, RE-AIM. Trotz starker Repräsentation von Rassen-/Ethnien begrenzte Einbindung von Nicht-Englischsprachigen. Nahezu alle Studien zeigten Effektivität; vorwiegend Verhaltensoutcomes gemessen. RE-AIM-Analyse: erhebliche Lücken in Demografica, Implementierungstreue (nur 18%), Kostenberichte und Nachhaltigkeitsplanung (&lt;10%). Schlussfolgerung: fehlende Standardisierung in Messung und Implementierungsberichte limitieren Vergleichbarkeit und Praxisübertrag.</w:t>
      </w:r>
    </w:p>
    <w:p>
      <w:r>
        <w:rPr>
          <w:b/>
          <w:sz w:val="19"/>
        </w:rPr>
        <w:t xml:space="preserve">Übertragbarkeit: </w:t>
      </w:r>
      <w:r>
        <w:rPr>
          <w:sz w:val="19"/>
        </w:rPr>
        <w:t>USA – Systematische Bewertung übertragbar, aber Tools müssen sprachspezifisch validiert werden</w:t>
      </w:r>
    </w:p>
    <w:p>
      <w:r>
        <w:rPr>
          <w:color w:val="5A7D3A"/>
          <w:sz w:val="18"/>
        </w:rPr>
        <w:t>https://pubmed.ncbi.nlm.nih.gov/42858454/</w:t>
      </w:r>
    </w:p>
    <w:p>
      <w:pPr>
        <w:pStyle w:val="Heading2"/>
      </w:pPr>
      <w:r>
        <w:t>Arztstatus und Einrichtung erklären Studienteilnahme stärker als Patienten-Merkmale</w:t>
      </w:r>
    </w:p>
    <w:p>
      <w:r>
        <w:rPr>
          <w:i/>
          <w:color w:val="666666"/>
          <w:sz w:val="18"/>
        </w:rPr>
        <w:t>Jiang C et al.  ·  JAMA Netw Open  ·  01.10.2026  ·  PMID 42837155</w:t>
      </w:r>
    </w:p>
    <w:p>
      <w:r>
        <w:t>Kohortenstudie mit 205.743 amerikanischen Krebspatienten mit fortgeschrittener/metastasierter Erkrankung (2011–2024) zur Analyse von Variationsquellen in Studienteilnahme mittels gemischter logistischer Regressionsmodelle.</w:t>
      </w:r>
    </w:p>
    <w:p>
      <w:r>
        <w:rPr>
          <w:b/>
        </w:rPr>
        <w:t xml:space="preserve">Ergebnis: </w:t>
      </w:r>
      <w:r>
        <w:t>10.785 Patienten (5,2%) nahmen an Studien teil; Quote stieg von 3,9% (2011) auf 6,8% (2024). Teilnahme stark konzentriert: 389 von 1.664 Ärzten (23,4%) erklären 83,6% aller Anmeldungen; 21 von 107 Einrichtungen (19,6%) 80,5% der Patienten. 494 Ärzte (29,7%) rekrutierten niemandem. Arzt- und Einrichtungsebene erklärten zusammen 27,4% der Varianz, Patientenmerkmale nur 11,4%. Spezialisierung des Arztes (1–2 Indikationen: OR 4,11; 95%-CI 2,53–6,68), frühere Rekrutierungsaktivität (OR 1,58; 95%-CI 1,43–1,76) und Forschungsengagement der Einrichtung (OR 2,68; 95%-CI 2,12–3,39) zeigten höchste Assoziationen.</w:t>
      </w:r>
    </w:p>
    <w:p>
      <w:r>
        <w:rPr>
          <w:b/>
          <w:sz w:val="19"/>
        </w:rPr>
        <w:t xml:space="preserve">Übertragbarkeit: </w:t>
      </w:r>
      <w:r>
        <w:rPr>
          <w:sz w:val="19"/>
        </w:rPr>
        <w:t>USA – Struktur und Organisationskontext universal, aber Gesundheitssystem und Rekrutierungserwartungen andersartig</w:t>
      </w:r>
    </w:p>
    <w:p>
      <w:r>
        <w:rPr>
          <w:color w:val="5A7D3A"/>
          <w:sz w:val="18"/>
        </w:rPr>
        <w:t>https://pubmed.ncbi.nlm.nih.gov/42837155/</w:t>
      </w:r>
    </w:p>
    <w:p>
      <w:pPr>
        <w:pStyle w:val="Heading1"/>
      </w:pPr>
      <w:r>
        <w:t>Aufgenommen am 12.10.2026</w:t>
      </w:r>
    </w:p>
    <w:p>
      <w:pPr>
        <w:pStyle w:val="Heading2"/>
      </w:pPr>
      <w:r>
        <w:t>Digitale Kompetenz fördert Gesundheit älterer Menschen über Sozialbeziehungen</w:t>
      </w:r>
    </w:p>
    <w:p>
      <w:r>
        <w:rPr>
          <w:i/>
          <w:color w:val="666666"/>
          <w:sz w:val="18"/>
        </w:rPr>
        <w:t>Qi MH et al.  ·  Inquiry  ·  11.10.2026  ·  PMID 42859872</w:t>
      </w:r>
    </w:p>
    <w:p>
      <w:r>
        <w:t>Querschnittstudie mit chinesischen Daten (n nicht genannt) zur Assoziation zwischen digitaler Literacy und physischer/psychischer Gesundheit, mit Sozialinteraktion als Mediator (Kausalitätsrahmen: digitale Technologie→Sozialbeziehungen→Gesundheit).</w:t>
      </w:r>
    </w:p>
    <w:p>
      <w:r>
        <w:rPr>
          <w:b/>
        </w:rPr>
        <w:t xml:space="preserve">Ergebnis: </w:t>
      </w:r>
      <w:r>
        <w:t>Digitale Literacy war signifikant positiv mit physischer und psychischer Gesundheit assoziiert; Sozialinteraktion mediierte diese Assoziation bedeutsam. Heterogenitätsanalysen zeigten geschlechtsspezifische Muster: bei Männern Assoziation zur physischen Gesundheit signifikant, bei Frauen zur psychischen Gesundheit; urbaner/ruraler Status hatte keinen signifikanten Unterschied.</w:t>
      </w:r>
    </w:p>
    <w:p>
      <w:r>
        <w:rPr>
          <w:b/>
          <w:sz w:val="19"/>
        </w:rPr>
        <w:t xml:space="preserve">Übertragbarkeit: </w:t>
      </w:r>
      <w:r>
        <w:rPr>
          <w:sz w:val="19"/>
        </w:rPr>
        <w:t>China (CHARLS 2020), aber Mechanismus (digitale Kompetenz→Sozialaktivität→Gesundheit) in Alterungskontexten international relevant.</w:t>
      </w:r>
    </w:p>
    <w:p>
      <w:r>
        <w:rPr>
          <w:color w:val="5A7D3A"/>
          <w:sz w:val="18"/>
        </w:rPr>
        <w:t>https://pubmed.ncbi.nlm.nih.gov/42859872/</w:t>
      </w:r>
    </w:p>
    <w:p>
      <w:pPr>
        <w:pStyle w:val="Heading2"/>
      </w:pPr>
      <w:r>
        <w:t>Webgestützte Schulung verbessert Symptomkontrolle bei häuslicher Beatmung</w:t>
      </w:r>
    </w:p>
    <w:p>
      <w:r>
        <w:rPr>
          <w:i/>
          <w:color w:val="666666"/>
          <w:sz w:val="18"/>
        </w:rPr>
        <w:t>Eriş Ş et al.  ·  Sleep Breath  ·  10.10.2026  ·  PMID 42859312</w:t>
      </w:r>
    </w:p>
    <w:p>
      <w:r>
        <w:t>Randomisierte Studie zur Wirkung einer webgestützten Schulung auf NIV-bezogene Nebenwirkungen und Schlafqualität bei COPD-Patienten mit häuslicher Heimbeatmung (n=75).</w:t>
      </w:r>
    </w:p>
    <w:p>
      <w:r>
        <w:rPr>
          <w:b/>
        </w:rPr>
        <w:t xml:space="preserve">Ergebnis: </w:t>
      </w:r>
      <w:r>
        <w:t>In der Interventionsgruppe sanken die Schlafstörungen (Insomnia Severity Index) signifikant stärker ab als in der Kontrolle (p&lt;0,001, η²p=0,352); bei Woche 8 zeigten sich signifikante Unterschiede zwischen den Gruppen (p&lt;0,001, η²p=0,753 für Gesamt-S³-NIV-Scores). Webgestützte Bildung unterstützte die Symptombewältigung und Patientenanpassung nachweislich.</w:t>
      </w:r>
    </w:p>
    <w:p>
      <w:r>
        <w:rPr>
          <w:b/>
          <w:sz w:val="19"/>
        </w:rPr>
        <w:t xml:space="preserve">Übertragbarkeit: </w:t>
      </w:r>
      <w:r>
        <w:rPr>
          <w:sz w:val="19"/>
        </w:rPr>
        <w:t>Türkei, aber RCT-Design und strukturierte digitale Schulung sind systemunabhängig übertragbar.</w:t>
      </w:r>
    </w:p>
    <w:p>
      <w:r>
        <w:rPr>
          <w:color w:val="5A7D3A"/>
          <w:sz w:val="18"/>
        </w:rPr>
        <w:t>https://pubmed.ncbi.nlm.nih.gov/42859312/</w:t>
      </w:r>
    </w:p>
    <w:p>
      <w:pPr>
        <w:pStyle w:val="Heading2"/>
      </w:pPr>
      <w:r>
        <w:t>Ernährungsschulung reduziert Schlafstörungen unter Chemotherapie</w:t>
      </w:r>
    </w:p>
    <w:p>
      <w:r>
        <w:rPr>
          <w:i/>
          <w:color w:val="666666"/>
          <w:sz w:val="18"/>
        </w:rPr>
        <w:t>Cheng L et al.  ·  Support Care Cancer  ·  10.10.2026  ·  PMID 42859245</w:t>
      </w:r>
    </w:p>
    <w:p>
      <w:r>
        <w:t>RCT zur Wirkung einer 12-wöchigen Schulung zu entzündungshemmender Ernährung auf Schlafqualität bei 132 Brustkrebspatienten unter Chemotherapie.</w:t>
      </w:r>
    </w:p>
    <w:p>
      <w:r>
        <w:rPr>
          <w:b/>
        </w:rPr>
        <w:t xml:space="preserve">Ergebnis: </w:t>
      </w:r>
      <w:r>
        <w:t>Im Kompleteranalyse-Datensatz zeigten 49,2% der Interventionsgruppe vs. 78,9% der Kontrolle Schlafstörungen (p&lt;0,001); PSQI-Score sank um β=-2,10 (95%-KI: -3,01 bis -1,18; p&lt;0,001), Lebensqualität verbesserte sich um β=14,07 (95%-KI: 8,61–19,52; p&lt;0,001). Strukturierte Patientenschulung mit klaren Inhalten änderte Verhalten messbar.</w:t>
      </w:r>
    </w:p>
    <w:p>
      <w:r>
        <w:rPr>
          <w:b/>
          <w:sz w:val="19"/>
        </w:rPr>
        <w:t xml:space="preserve">Übertragbarkeit: </w:t>
      </w:r>
      <w:r>
        <w:rPr>
          <w:sz w:val="19"/>
        </w:rPr>
        <w:t>China, aber evidenzbasierte Schulungsstruktur und schriftliche Materialien sind kulturübergreifend adaptierbar.</w:t>
      </w:r>
    </w:p>
    <w:p>
      <w:r>
        <w:rPr>
          <w:color w:val="5A7D3A"/>
          <w:sz w:val="18"/>
        </w:rPr>
        <w:t>https://pubmed.ncbi.nlm.nih.gov/42859245/</w:t>
      </w:r>
    </w:p>
    <w:p>
      <w:pPr>
        <w:pStyle w:val="Heading2"/>
      </w:pPr>
      <w:r>
        <w:t>Gesundheitskompetenz stärkt erfolgreiches Altern bei älteren Patienten</w:t>
      </w:r>
    </w:p>
    <w:p>
      <w:r>
        <w:rPr>
          <w:i/>
          <w:color w:val="666666"/>
          <w:sz w:val="18"/>
        </w:rPr>
        <w:t>Ibrahim HS et al.  ·  BMC Public Health  ·  09.10.2026  ·  PMID 42855688</w:t>
      </w:r>
    </w:p>
    <w:p>
      <w:r>
        <w:t>Querschnittstudie (n=246, 123 chronisch krank, 123 gesund, Alter ≥65 Jahre) zur Assoziation zwischen Gesundheitskompetenz und erfolgreichem Altern mittels Health Literacy Questionnaire und Successful Aging Scale.</w:t>
      </w:r>
    </w:p>
    <w:p>
      <w:r>
        <w:rPr>
          <w:b/>
        </w:rPr>
        <w:t xml:space="preserve">Ergebnis: </w:t>
      </w:r>
      <w:r>
        <w:t>Patienten mit chronischen Erkrankungen zeigten signifikant niedrigere Gesundheitskompetenz- und erfolgreiches-Altern-Scores als Kontrollen (p&lt;0,001). Gesundheitskompetenz korrelierte positiv mit erfolgreichem Altern (r=0,612, p&lt;0,001) und war der stärkste unabhängige Prädiktor in der Regressionsanalyse; höhere Bildung und Einkommen verbesserten erfolgreiches Altern, Alter, ländlicher Wohnort und Rauchen verschlechterten es.</w:t>
      </w:r>
    </w:p>
    <w:p>
      <w:r>
        <w:rPr>
          <w:b/>
          <w:sz w:val="19"/>
        </w:rPr>
        <w:t xml:space="preserve">Übertragbarkeit: </w:t>
      </w:r>
      <w:r>
        <w:rPr>
          <w:sz w:val="19"/>
        </w:rPr>
        <w:t>Ägypten, aber etablierte Instrumente und Befund (Health Literacy→Aging Outcomes) für Europa/Deutschland adaptierbar.</w:t>
      </w:r>
    </w:p>
    <w:p>
      <w:r>
        <w:rPr>
          <w:color w:val="5A7D3A"/>
          <w:sz w:val="18"/>
        </w:rPr>
        <w:t>https://pubmed.ncbi.nlm.nih.gov/42855688/</w:t>
      </w:r>
    </w:p>
    <w:p>
      <w:pPr>
        <w:pStyle w:val="Heading2"/>
      </w:pPr>
      <w:r>
        <w:t>Zielgruppengerechte Risikokommunikation zu Dopingmitteln in Fitnessstudios</w:t>
      </w:r>
    </w:p>
    <w:p>
      <w:r>
        <w:rPr>
          <w:i/>
          <w:color w:val="666666"/>
          <w:sz w:val="18"/>
        </w:rPr>
        <w:t>Paasch R et al.  ·  Harm Reduct J  ·  23.09.2026  ·  PMID 42823728</w:t>
      </w:r>
    </w:p>
    <w:p>
      <w:r>
        <w:t>Querschnittstudie (n=550 Freizeitsportler) zur Replikation einer 7-Cluster-Typologie von Einstellungen zu Dopingmitteln mittels Theory of Planned Behavior und Health Belief Model, mit qualitativen Illustrationen.</w:t>
      </w:r>
    </w:p>
    <w:p>
      <w:r>
        <w:rPr>
          <w:b/>
        </w:rPr>
        <w:t xml:space="preserve">Ergebnis: </w:t>
      </w:r>
      <w:r>
        <w:t>Sieben heterogene Motivations- und kognitiv-motivationale Profile identifiziert (Silhouetten-Index=0,22, Bootstrap-Stabilität moderat); signifikante Assoziationen mit Anabolika- und Testosterongebrauch, aber nicht mit Wachstumshormonen. Profile zeigen 'Werteabstainer', 'ambivalente Risikonehmer' und 'Leistungsrationaliserer' – heterogene Präventionebedarfe statt Risikokontinuum.</w:t>
      </w:r>
    </w:p>
    <w:p>
      <w:r>
        <w:rPr>
          <w:b/>
          <w:sz w:val="19"/>
        </w:rPr>
        <w:t xml:space="preserve">Übertragbarkeit: </w:t>
      </w:r>
      <w:r>
        <w:rPr>
          <w:sz w:val="19"/>
        </w:rPr>
        <w:t>Deutschland, deutschsprachige Fitnessstudio-Population; Typologien für zielgruppengenaue Harm-Reduction-Kommunikation direkt einsetzbar.</w:t>
      </w:r>
    </w:p>
    <w:p>
      <w:r>
        <w:rPr>
          <w:color w:val="5A7D3A"/>
          <w:sz w:val="18"/>
        </w:rPr>
        <w:t>https://pubmed.ncbi.nlm.nih.gov/42823728/</w:t>
      </w:r>
    </w:p>
    <w:p>
      <w:pPr>
        <w:pStyle w:val="Heading2"/>
      </w:pPr>
      <w:r>
        <w:t>Künstliche Sprachmodelle liefern präzise, aber unpersonalisierte Patienteninformationen</w:t>
      </w:r>
    </w:p>
    <w:p>
      <w:r>
        <w:rPr>
          <w:i/>
          <w:color w:val="666666"/>
          <w:sz w:val="18"/>
        </w:rPr>
        <w:t>Li J et al.  ·  Front Public Health  ·  15.09.2026  ·  PMID 42812281</w:t>
      </w:r>
    </w:p>
    <w:p>
      <w:r>
        <w:t>Vergleichende Bewertung von sechs Large Language Models (ChatGPT, Claude, DeepSeek, Gemini, Grok, Qwen) bei der Beantwortung von 40 Patientenfragen zu Achalasie (n=240 Responses) anhand von Sicherheit, Genauigkeit, Empathie, Informationsqualität und Lesbarkeit.</w:t>
      </w:r>
    </w:p>
    <w:p>
      <w:r>
        <w:rPr>
          <w:b/>
        </w:rPr>
        <w:t xml:space="preserve">Ergebnis: </w:t>
      </w:r>
      <w:r>
        <w:t>27 von 240 Responses (11,3%) als potenziell unsicher bewertet; Genauigkeit unterschied sich signifikant zwischen Modellen (kleiner Effekt). Größere Unterschiede in Empathie, Informationszuverlässigkeit und Lesbarkeit: ChatGPT 5.5 und Gemini 3.1 Pro Thinking erreichten höhere Empathie-Scores, Claude Opus 4.7 zeigte höhere Lesbarkeit-Schwierigkeit. JAMA-Benchmark-Scores waren insgesamt niedrig (mangelhafte Quellenangaben).</w:t>
      </w:r>
    </w:p>
    <w:p>
      <w:r>
        <w:rPr>
          <w:b/>
          <w:sz w:val="19"/>
        </w:rPr>
        <w:t xml:space="preserve">Übertragbarkeit: </w:t>
      </w:r>
      <w:r>
        <w:rPr>
          <w:sz w:val="19"/>
        </w:rPr>
        <w:t>China, aber Evaluationsmethodik (Sicherheit/Genauigkeit/Empathie/Transparenz) für LLM-basierte Patienteninformation international anwendbar.</w:t>
      </w:r>
    </w:p>
    <w:p>
      <w:r>
        <w:rPr>
          <w:color w:val="5A7D3A"/>
          <w:sz w:val="18"/>
        </w:rPr>
        <w:t>https://pubmed.ncbi.nlm.nih.gov/42812281/</w:t>
      </w:r>
    </w:p>
    <w:p>
      <w:pPr>
        <w:pStyle w:val="Heading1"/>
      </w:pPr>
      <w:r>
        <w:t>Aufgenommen am 11.10.2026</w:t>
      </w:r>
    </w:p>
    <w:p>
      <w:pPr>
        <w:pStyle w:val="Heading2"/>
      </w:pPr>
      <w:r>
        <w:t>Digital-gestützte Verhaltenstherapie gegen Schmerz bei Sichelzellerkrankung: Bedeutung der menschlichen Unterstützung</w:t>
      </w:r>
    </w:p>
    <w:p>
      <w:r>
        <w:rPr>
          <w:i/>
          <w:color w:val="666666"/>
          <w:sz w:val="18"/>
        </w:rPr>
        <w:t>Oluwole OB et al.  ·  Ann Behav Med  ·  07.01.2026  ·  PMID 42847392</w:t>
      </w:r>
    </w:p>
    <w:p>
      <w:r>
        <w:t>Randomisierte 12-Monats-Studie mit 359 Erwachsenen zu digitaler kognitiver Verhaltenstherapie versus Edukation für chronische Schmerzen bei Sichelzellerkrankung, beide mit wöchentlicher Health-Coach-Begleitung.</w:t>
      </w:r>
    </w:p>
    <w:p>
      <w:r>
        <w:rPr>
          <w:b/>
        </w:rPr>
        <w:t xml:space="preserve">Ergebnis: </w:t>
      </w:r>
      <w:r>
        <w:t>Nach 12 Monaten: 56,5% Follow-up-Quote (n=203). Keine signifikanten Unterschiede in Schmerzinterferenz zwischen Gruppen [0,43, 95%-KI: -1,61 bis 2,48; p=0,68]. Beide Gruppen zeigten anhaltende Verbesserung von Baseline (CBT: -1,50; Edukation: -1,93). CBT-Gruppe: größere Verbesserung in emotionaler Belastung [2,00, 95%-KI: 0,12-3,88; p=0,04]. Höheres Health-Coach-Engagement assoziiert mit reduzierter Schmerzinterferenz [-0,073 pro 10% Engagement-Anstieg; p&lt;0,01].</w:t>
      </w:r>
    </w:p>
    <w:p>
      <w:r>
        <w:rPr>
          <w:b/>
          <w:sz w:val="19"/>
        </w:rPr>
        <w:t xml:space="preserve">Übertragbarkeit: </w:t>
      </w:r>
      <w:r>
        <w:rPr>
          <w:sz w:val="19"/>
        </w:rPr>
        <w:t>USA, aber Wirkung menschlicher Begleitung in digitalen Interventionen universal.</w:t>
      </w:r>
    </w:p>
    <w:p>
      <w:r>
        <w:rPr>
          <w:color w:val="5A7D3A"/>
          <w:sz w:val="18"/>
        </w:rPr>
        <w:t>https://pubmed.ncbi.nlm.nih.gov/42847392/</w:t>
      </w:r>
    </w:p>
    <w:p>
      <w:pPr>
        <w:pStyle w:val="Heading2"/>
      </w:pPr>
      <w:r>
        <w:t>Pflegende und organisationale Health Literacy: Wie Kliniken Information zugänglich machen</w:t>
      </w:r>
    </w:p>
    <w:p>
      <w:r>
        <w:rPr>
          <w:i/>
          <w:color w:val="666666"/>
          <w:sz w:val="18"/>
        </w:rPr>
        <w:t>Smith GD et al.  ·  Front Public Health  ·  23.09.2026  ·  PMID 42846350</w:t>
      </w:r>
    </w:p>
    <w:p>
      <w:r>
        <w:t>Konzeptuelle Analyse mit fokussierter Mini-Literaturübersicht zu Rolle von Pflegenden bei organisationaler Health Literacy in Kliniken und Praxen.</w:t>
      </w:r>
    </w:p>
    <w:p>
      <w:r>
        <w:rPr>
          <w:b/>
        </w:rPr>
        <w:t xml:space="preserve">Ergebnis: </w:t>
      </w:r>
      <w:r>
        <w:t>Organisationale Health Literacy (statt Individual-Ebene) adressiert, wie Organisationen Information, Services und Care Pathways zugänglich und verständlich machen. Pflegende leisten Beitrag durch: klare Kommunikation, Care Navigation, Shared Decision-Making, Co-Design von Informationsmaterialien, Qualitätsverbesserung, HL-sensitive Systeme. Mapping von Nutbeams HL-Ebenen (funktional, interaktiv, kritisch) auf Organisationsverantwortung gezeigt. Erforderlich: Führungsunterstützung, Personalentwicklung, Assessments, Partnerschaften mit Patienten, Integration in Qualitäts- und Akkreditierungsstrukturen.</w:t>
      </w:r>
    </w:p>
    <w:p>
      <w:r>
        <w:rPr>
          <w:b/>
          <w:sz w:val="19"/>
        </w:rPr>
        <w:t xml:space="preserve">Übertragbarkeit: </w:t>
      </w:r>
      <w:r>
        <w:rPr>
          <w:sz w:val="19"/>
        </w:rPr>
        <w:t>International konzeptuell; Organisationsprinzipien auf deutsches Klinik- und Praxissystem übertragbar.</w:t>
      </w:r>
    </w:p>
    <w:p>
      <w:r>
        <w:rPr>
          <w:color w:val="5A7D3A"/>
          <w:sz w:val="18"/>
        </w:rPr>
        <w:t>https://pubmed.ncbi.nlm.nih.gov/42846350/</w:t>
      </w:r>
    </w:p>
    <w:p>
      <w:pPr>
        <w:pStyle w:val="Heading2"/>
      </w:pPr>
      <w:r>
        <w:t>Familie und soziale Unterstützung fördern Health Literacy bei chronischer Erkrankung</w:t>
      </w:r>
    </w:p>
    <w:p>
      <w:r>
        <w:rPr>
          <w:i/>
          <w:color w:val="666666"/>
          <w:sz w:val="18"/>
        </w:rPr>
        <w:t>Zhang H et al.  ·  Front Public Health  ·  23.09.2026  ·  PMID 42845865</w:t>
      </w:r>
    </w:p>
    <w:p>
      <w:r>
        <w:t>Querschnittsstudie mit 1.444 chinesischen Personen mittleren und höheren Alters mit chronischer Erkrankung zu Zusammenhang von Familiengesundheit, wahrgenommener sozialer Unterstützung und Health Literacy mittels Mediations- und Netzwerkanalyse.</w:t>
      </w:r>
    </w:p>
    <w:p>
      <w:r>
        <w:rPr>
          <w:b/>
        </w:rPr>
        <w:t xml:space="preserve">Ergebnis: </w:t>
      </w:r>
      <w:r>
        <w:t>Familie, soziale Unterstützung und Health Literacy signifikant positiv korreliert (p&lt;0,01). Soziale Unterstützung teilweise Mediator im Zusammenhang Familie-Literacy (indirekter Effekt=0,1818, 95%-KI: 0,1331-0,2307), erklärt 47,38% der Gesamtwirkung. "Family Social and Emotional Health Processes" höchster Zentralitätswert im Netzwerk. Struktur unterschied sich nicht zwischen Geschlecht, urban-rural oder Altersgruppen.</w:t>
      </w:r>
    </w:p>
    <w:p>
      <w:r>
        <w:rPr>
          <w:b/>
          <w:sz w:val="19"/>
        </w:rPr>
        <w:t xml:space="preserve">Übertragbarkeit: </w:t>
      </w:r>
      <w:r>
        <w:rPr>
          <w:sz w:val="19"/>
        </w:rPr>
        <w:t>China, aber Mechanismus familiärer und sozialer Schutzfaktoren für Gesundheitskompetenz auch in Deutschland relevant.</w:t>
      </w:r>
    </w:p>
    <w:p>
      <w:r>
        <w:rPr>
          <w:color w:val="5A7D3A"/>
          <w:sz w:val="18"/>
        </w:rPr>
        <w:t>https://pubmed.ncbi.nlm.nih.gov/42845865/</w:t>
      </w:r>
    </w:p>
    <w:p>
      <w:pPr>
        <w:pStyle w:val="Heading2"/>
      </w:pPr>
      <w:r>
        <w:t>Digital Health Literacy verstärkt Wirkung von Sportumgebung auf Bewegungsaktivität von Jugendlichen</w:t>
      </w:r>
    </w:p>
    <w:p>
      <w:r>
        <w:rPr>
          <w:i/>
          <w:color w:val="666666"/>
          <w:sz w:val="18"/>
        </w:rPr>
        <w:t>Zhang B  ·  Front Public Health  ·  23.09.2026  ·  PMID 42845756</w:t>
      </w:r>
    </w:p>
    <w:p>
      <w:r>
        <w:t>Querschnittstudie mit 2.531 chinesischen Jugendlichen (Durchschnitt 15,2 Jahre) zu Moderationseffekt von digitaler Health Literacy auf Zusammenhang zwischen Schulsportumgebung und körperliche Aktivität (SEM mit latenter Interaktion).</w:t>
      </w:r>
    </w:p>
    <w:p>
      <w:r>
        <w:rPr>
          <w:b/>
        </w:rPr>
        <w:t xml:space="preserve">Ergebnis: </w:t>
      </w:r>
      <w:r>
        <w:t>Schulsportumgebung positiv mit Aktivität assoziiert (β=0,34, p&lt;0,001). Digitale Health Literacy moderierte signifikant (Interaktion β=0,12, p=0,003): Umgebung-Aktivitäts-Pfad stärker bei höherer DHL. Effekt in Stadtschulen (β=0,38) stärker als Landschulen (β=0,29; z=2,87, p=0,004). Moderation signifikant in Urban (β=0,14, p=0,008), nicht in Rural (β=0,07, p=0,14). Digitale Ungleichheiten können zu Bewegungsungleichheiten beitragen.</w:t>
      </w:r>
    </w:p>
    <w:p>
      <w:r>
        <w:rPr>
          <w:b/>
          <w:sz w:val="19"/>
        </w:rPr>
        <w:t xml:space="preserve">Übertragbarkeit: </w:t>
      </w:r>
      <w:r>
        <w:rPr>
          <w:sz w:val="19"/>
        </w:rPr>
        <w:t>China, aber Stadt-Land-Disparität und Moderationseffekt digital-sozialer Faktoren auch auf Deutschland übertragbar.</w:t>
      </w:r>
    </w:p>
    <w:p>
      <w:r>
        <w:rPr>
          <w:color w:val="5A7D3A"/>
          <w:sz w:val="18"/>
        </w:rPr>
        <w:t>https://pubmed.ncbi.nlm.nih.gov/42845756/</w:t>
      </w:r>
    </w:p>
    <w:p>
      <w:pPr>
        <w:pStyle w:val="Heading2"/>
      </w:pPr>
      <w:r>
        <w:t>Selbstmanagement bei Nierenerkrankung: Was Fachpersonal über Unterstützung weiß</w:t>
      </w:r>
    </w:p>
    <w:p>
      <w:r>
        <w:rPr>
          <w:i/>
          <w:color w:val="666666"/>
          <w:sz w:val="18"/>
        </w:rPr>
        <w:t>Patel NA et al.  ·  J Nephrol  ·  10.10.2026  ·  PMID 42598916</w:t>
      </w:r>
    </w:p>
    <w:p>
      <w:r>
        <w:t>Qualitative Studie mit 42 britischen Fachpersonen zur Unterstützung von Selbstmanagement bei chronischer Nierenerkrankung.</w:t>
      </w:r>
    </w:p>
    <w:p>
      <w:r>
        <w:rPr>
          <w:b/>
        </w:rPr>
        <w:t xml:space="preserve">Ergebnis: </w:t>
      </w:r>
      <w:r>
        <w:t>Vier Themenbereiche identifiziert: (1) Gesundheitssystem unterstützt Selbstmanagement nicht ausreichend, (2) Bedarf für individualisierte Ansätze, (3) Verbesserung von Ressourcen nötig, (4) Anforderungen für Gesundheitsgerechtigkeit. Fachpersonal berichtet mangelnde, zugängliche Selbstmanagement-Ressourcen und fordert evidenzbasierte, auf individuelle Bedürfnisse zugeschnittene Interventionen.</w:t>
      </w:r>
    </w:p>
    <w:p>
      <w:r>
        <w:rPr>
          <w:b/>
          <w:sz w:val="19"/>
        </w:rPr>
        <w:t xml:space="preserve">Übertragbarkeit: </w:t>
      </w:r>
      <w:r>
        <w:rPr>
          <w:sz w:val="19"/>
        </w:rPr>
        <w:t>UK-NHS-Kontext, aber identifizierte Systemprobleme in anderen Ländern ähnlich relevant.</w:t>
      </w:r>
    </w:p>
    <w:p>
      <w:r>
        <w:rPr>
          <w:color w:val="5A7D3A"/>
          <w:sz w:val="18"/>
        </w:rPr>
        <w:t>https://pubmed.ncbi.nlm.nih.gov/42598916/</w:t>
      </w:r>
    </w:p>
    <w:p>
      <w:pPr>
        <w:pStyle w:val="Heading2"/>
      </w:pPr>
      <w:r>
        <w:t>Digital Health Literacy bei Nierenerkrankung: Probleme bei der Nutzung digitaler Gesundheitsinformation</w:t>
      </w:r>
    </w:p>
    <w:p>
      <w:r>
        <w:rPr>
          <w:i/>
          <w:color w:val="666666"/>
          <w:sz w:val="18"/>
        </w:rPr>
        <w:t>Totaro M et al.  ·  J Nephrol  ·  10.10.2026  ·  PMID 42583872</w:t>
      </w:r>
    </w:p>
    <w:p>
      <w:r>
        <w:t>Querschnittsstudie mit 323 italienischen Patienten zur digitalen Gesundheitskompetenz (HLS19-DIGI-Tool) bei chronischer Nierenerkrankung.</w:t>
      </w:r>
    </w:p>
    <w:p>
      <w:r>
        <w:rPr>
          <w:b/>
        </w:rPr>
        <w:t xml:space="preserve">Ergebnis: </w:t>
      </w:r>
      <w:r>
        <w:t>"Problematische" Level beim Umgang mit digitalen Gesundheitsinformationen, "ausreichende" Level bei Interaktion mit digitalen Ressourcen gefunden. Älter, geringere Bildung und Arbeitslosigkeit (Rentner) = schlechtere Fähigkeiten; bessere Kompetenz bei höherem Einkommen, digitaler Schulung und regelmäßiger Geräte-Nutzung (1-3 Tage/Woche). Gezielte Interventionen zur Förderung digitaler Health Literacy empfohlen.</w:t>
      </w:r>
    </w:p>
    <w:p>
      <w:r>
        <w:rPr>
          <w:b/>
          <w:sz w:val="19"/>
        </w:rPr>
        <w:t xml:space="preserve">Übertragbarkeit: </w:t>
      </w:r>
      <w:r>
        <w:rPr>
          <w:sz w:val="19"/>
        </w:rPr>
        <w:t>Italienisches Versicherungssystem, aber Ungleichheitsprofile und digitale Barrieren auch auf Deutschland übertragbar.</w:t>
      </w:r>
    </w:p>
    <w:p>
      <w:r>
        <w:rPr>
          <w:color w:val="5A7D3A"/>
          <w:sz w:val="18"/>
        </w:rPr>
        <w:t>https://pubmed.ncbi.nlm.nih.gov/42583872/</w:t>
      </w:r>
    </w:p>
    <w:p>
      <w:pPr>
        <w:pStyle w:val="Heading1"/>
      </w:pPr>
      <w:r>
        <w:t>Aufgenommen am 10.10.2026</w:t>
      </w:r>
    </w:p>
    <w:p>
      <w:pPr>
        <w:pStyle w:val="Heading2"/>
      </w:pPr>
      <w:r>
        <w:t>WeChat-Beiträge zu Brusterkrankungen: Verständlichkeit und Entscheidungsunterstützung mangelhaft</w:t>
      </w:r>
    </w:p>
    <w:p>
      <w:r>
        <w:rPr>
          <w:i/>
          <w:color w:val="666666"/>
          <w:sz w:val="18"/>
        </w:rPr>
        <w:t>Li J et al.  ·  JMIR Med Inform  ·  09.10.2026  ·  PMID 42854188</w:t>
      </w:r>
    </w:p>
    <w:p>
      <w:r>
        <w:t>Chinesische Querschnittsanalyse von 464 Artikeln zu gutartigen Brusterkrankungen auf 158 Krankenhaus-WeChat-Kanälen, bewertet auf Zugänglichkeit (Lesbarkeit, Bilder) und Shared Decision Making-Reife nach validierten Instrumenten (PEMAT-P, DISCERN, QUEST).</w:t>
      </w:r>
    </w:p>
    <w:p>
      <w:r>
        <w:rPr>
          <w:b/>
        </w:rPr>
        <w:t xml:space="preserve">Ergebnis: </w:t>
      </w:r>
      <w:r>
        <w:t>Gute Zugänglichkeit: 72,4% auf Niveau Mittlere Reife geschrieben; aber begrenzte Handlungsfähigkeit (PEMAT-P Actionability-Score 50% ± 23,2%, Mittelwert). Schwache Entscheidungsunterstützung: QUEST-Score 14,9 ± 4,7 von 28; 84,3% der Artikel unterschritten Qualitätsschwelle. Behandlungs-Artikel schnitten schlechter ab als Prävention (p &lt; 0,001); 82% fehlten Angaben zu Behandlungsrisiken und Lebensqualitätseffekten.</w:t>
      </w:r>
    </w:p>
    <w:p>
      <w:r>
        <w:rPr>
          <w:b/>
          <w:sz w:val="19"/>
        </w:rPr>
        <w:t xml:space="preserve">Übertragbarkeit: </w:t>
      </w:r>
      <w:r>
        <w:rPr>
          <w:sz w:val="19"/>
        </w:rPr>
        <w:t>China, andere Plattform und Dokumententyp; Befund zur Qualitätslücke bei Online-Patienteninformation übertragbar.</w:t>
      </w:r>
    </w:p>
    <w:p>
      <w:r>
        <w:rPr>
          <w:color w:val="5A7D3A"/>
          <w:sz w:val="18"/>
        </w:rPr>
        <w:t>https://pubmed.ncbi.nlm.nih.gov/42854188/</w:t>
      </w:r>
    </w:p>
    <w:p>
      <w:pPr>
        <w:pStyle w:val="Heading2"/>
      </w:pPr>
      <w:r>
        <w:t>Patienteneinbeziehung in der Psychose-Behandlung: DIALOG+ strukturiert Gesprächsziele und geteilte Entscheidungen</w:t>
      </w:r>
    </w:p>
    <w:p>
      <w:r>
        <w:rPr>
          <w:i/>
          <w:color w:val="666666"/>
          <w:sz w:val="18"/>
        </w:rPr>
        <w:t>Lundmark M et al.  ·  BMC Psychiatry  ·  17.09.2026  ·  PMID 42850597</w:t>
      </w:r>
    </w:p>
    <w:p>
      <w:r>
        <w:t>Qualitative Studie mit 14 Fachkräften in schwedischen Psychose-Ambulanzen, die Erfahrungen mit DIALOG+ (strukturiertes digitales Werkzeug für Patient*innenbeteiligung) in Fokusgruppen beschrieben.</w:t>
      </w:r>
    </w:p>
    <w:p>
      <w:r>
        <w:rPr>
          <w:b/>
        </w:rPr>
        <w:t xml:space="preserve">Ergebnis: </w:t>
      </w:r>
      <w:r>
        <w:t>DIALOG+ ermöglichte es Patient*innen, ihre Bedürfnisse deutlicher zu äußern und eine aktivere Rolle im Gespräch zu übernehmen. Die strukturierte Methode verteilte Verantwortung für Entscheidungen und Nachbetreuung zwischen Patient*innen und Fachkräften. Herausforderung: Spannung zwischen Patient*innen-geleiteter Agenda und professioneller Verantwortung erfordert Unterstützung der Fachkräfte in neuen Rollen.</w:t>
      </w:r>
    </w:p>
    <w:p>
      <w:r>
        <w:rPr>
          <w:b/>
          <w:sz w:val="19"/>
        </w:rPr>
        <w:t xml:space="preserve">Übertragbarkeit: </w:t>
      </w:r>
      <w:r>
        <w:rPr>
          <w:sz w:val="19"/>
        </w:rPr>
        <w:t>Schweden, Shared Decision Making in Regelversorgung; systemische Übertragbarkeit auf deutsches Gatekeeping-freies Versorgungsmodell begrenzt.</w:t>
      </w:r>
    </w:p>
    <w:p>
      <w:r>
        <w:rPr>
          <w:color w:val="5A7D3A"/>
          <w:sz w:val="18"/>
        </w:rPr>
        <w:t>https://pubmed.ncbi.nlm.nih.gov/42850597/</w:t>
      </w:r>
    </w:p>
    <w:p>
      <w:pPr>
        <w:pStyle w:val="Heading2"/>
      </w:pPr>
      <w:r>
        <w:t>Gesundheitsrahmen in Umweltbotschaften: Was fördert Verhalten, was nur Intention?</w:t>
      </w:r>
    </w:p>
    <w:p>
      <w:r>
        <w:rPr>
          <w:i/>
          <w:color w:val="666666"/>
          <w:sz w:val="18"/>
        </w:rPr>
        <w:t>Chan FHF et al.  ·  Ann Behav Med  ·  07.01.2026  ·  PMID 42847353</w:t>
      </w:r>
    </w:p>
    <w:p>
      <w:r>
        <w:t>Systematische Übersichtsarbeit mit qualitativer Synthesemethode von 46 Studien (54 Substudien) zum Effekt von Gesundheitsframing in Umwelt-Kommunikationsmaßnahmen, überwiegend RCTs in reichen, englischsprachigen Ländern (n &gt; 180.000 Personen).</w:t>
      </w:r>
    </w:p>
    <w:p>
      <w:r>
        <w:rPr>
          <w:b/>
        </w:rPr>
        <w:t xml:space="preserve">Ergebnis: </w:t>
      </w:r>
      <w:r>
        <w:t>Gesundheits-gerahmte Umweltbotschaften werden als verständlich und hilfreich wahrgenommen, insbesondere mit Gewinn-Framing und Präventions-Fokus. Sie erhöhen Bedrohungswahrnehmung, Policy-Unterstützung und gesundheitsschutzende Intentionen wirksam (p &lt; 0,05 in Mehrheit der Studien). Aber: Wirkung auf nachhaltige Verhaltensänderung und Advocacy-Verhalten inkonsistent; Handeln bleibt deutlich hinter Intention zurück.</w:t>
      </w:r>
    </w:p>
    <w:p>
      <w:r>
        <w:rPr>
          <w:b/>
          <w:sz w:val="19"/>
        </w:rPr>
        <w:t xml:space="preserve">Übertragbarkeit: </w:t>
      </w:r>
      <w:r>
        <w:rPr>
          <w:sz w:val="19"/>
        </w:rPr>
        <w:t>Überwiegend anglophone Länder, aber Fragestellung kultur- und systemunabhängig; Befund zur Intentions-Verhaltens-Lücke grundlegend.</w:t>
      </w:r>
    </w:p>
    <w:p>
      <w:r>
        <w:rPr>
          <w:color w:val="5A7D3A"/>
          <w:sz w:val="18"/>
        </w:rPr>
        <w:t>https://pubmed.ncbi.nlm.nih.gov/42847353/</w:t>
      </w:r>
    </w:p>
    <w:p>
      <w:pPr>
        <w:pStyle w:val="Heading2"/>
      </w:pPr>
      <w:r>
        <w:t>Surgical Sidekick: Schulung zur Gesundheitskompetenz bei Kopf-Hals-Krebs verbessert Verständnis und Selbstermächtigung</w:t>
      </w:r>
    </w:p>
    <w:p>
      <w:r>
        <w:rPr>
          <w:i/>
          <w:color w:val="666666"/>
          <w:sz w:val="18"/>
        </w:rPr>
        <w:t>Merkovsky S et al.  ·  Clin J Oncol Nurs  ·  30.09.2026  ·  PMID 42832320</w:t>
      </w:r>
    </w:p>
    <w:p>
      <w:r>
        <w:t>Qualitätsmessungs-Pilot einer Ressource zur Verbesserung von Gesundheitskompetenz und Patient*innen-Ermächtigung bei Kopf-Hals-Krebs-Operation; Pflegekräfte führten das Werkzeug bei Diagnosebestätigung ein (Maßnahme beschrieben, Wirkungsmessung im Abstract nicht vollständig benannt).</w:t>
      </w:r>
    </w:p>
    <w:p>
      <w:r>
        <w:rPr>
          <w:b/>
        </w:rPr>
        <w:t xml:space="preserve">Ergebnis: </w:t>
      </w:r>
      <w:r>
        <w:t>Projekt läuft seit Februar 2025; knapp 100 Drainagen wurden bisher erfolgreich zu Hause entfernt ohne berichtete Komplikationen (kein Vergleich mit Kontrolle, Fallzahl begrenzt). Aussage nur zu Machbarkeit und Sicherheit, nicht zu Gesundheitskompetenz-Effekt oder Verhaltensänderung mess bar benannt.</w:t>
      </w:r>
    </w:p>
    <w:p>
      <w:r>
        <w:rPr>
          <w:b/>
          <w:sz w:val="19"/>
        </w:rPr>
        <w:t xml:space="preserve">Übertragbarkeit: </w:t>
      </w:r>
      <w:r>
        <w:rPr>
          <w:sz w:val="19"/>
        </w:rPr>
        <w:t>USA - einzelnes Krankenhaus; explorativer Bericht ohne robustes Wirkungsdesign, daher limitierte Aussagekraft.</w:t>
      </w:r>
    </w:p>
    <w:p>
      <w:r>
        <w:rPr>
          <w:color w:val="5A7D3A"/>
          <w:sz w:val="18"/>
        </w:rPr>
        <w:t>https://pubmed.ncbi.nlm.nih.gov/42832320/</w:t>
      </w:r>
    </w:p>
    <w:p>
      <w:pPr>
        <w:pStyle w:val="Heading2"/>
      </w:pPr>
      <w:r>
        <w:t>Künstliche Sprachmodelle bei Herpes zoster: Sicherheit und Lesbarkeit für Patient*innen kritisch</w:t>
      </w:r>
    </w:p>
    <w:p>
      <w:r>
        <w:rPr>
          <w:i/>
          <w:color w:val="666666"/>
          <w:sz w:val="18"/>
        </w:rPr>
        <w:t>Liang D et al.  ·  Front Public Health  ·  16.09.2026  ·  PMID 42819370</w:t>
      </w:r>
    </w:p>
    <w:p>
      <w:r>
        <w:t>Standardisierte Bewertung von fünf großen Sprachmodellen (ChatGPT, DeepSeek, Doubao, Gemini, Qwen) zu 46 Fragen über Herpes zoster auf Sicherheit, Genauigkeit, Einfühlsamkeit, Quellenangabe und Lesbarkeit durch drei Dermatologen (Kappa für Sicherheit 0,682).</w:t>
      </w:r>
    </w:p>
    <w:p>
      <w:r>
        <w:rPr>
          <w:b/>
        </w:rPr>
        <w:t xml:space="preserve">Ergebnis: </w:t>
      </w:r>
      <w:r>
        <w:t>Von 230 Antworten: 66 (28,7%) als potenziell unsicher bewertet (kein signifikanter Unterschied zwischen Modellen, Cochran Q p = 0,798). Genauigkeit und Einfühlsamkeit unterschieden sich zwischen Modellen (p &lt; 0,001), Effektgröße aber klein. Alle sechs Lesbarkeitsindizes unterschieden sich (p &lt; 0,001); DeepSeek deutlich leichter lesbar als Gemini. Quellenangabe und Offenlegung durchgängig dünn.</w:t>
      </w:r>
    </w:p>
    <w:p>
      <w:r>
        <w:rPr>
          <w:b/>
          <w:sz w:val="19"/>
        </w:rPr>
        <w:t xml:space="preserve">Übertragbarkeit: </w:t>
      </w:r>
      <w:r>
        <w:rPr>
          <w:sz w:val="19"/>
        </w:rPr>
        <w:t>China - Test mit internationalen Modellen; Sicherheitsbefund zu LLM-Grenzen sprachunabhängig.</w:t>
      </w:r>
    </w:p>
    <w:p>
      <w:r>
        <w:rPr>
          <w:color w:val="5A7D3A"/>
          <w:sz w:val="18"/>
        </w:rPr>
        <w:t>https://pubmed.ncbi.nlm.nih.gov/42819370/</w:t>
      </w:r>
    </w:p>
    <w:p>
      <w:pPr>
        <w:pStyle w:val="Heading2"/>
      </w:pPr>
      <w:r>
        <w:t>Teilhabe im alltäglichen Leben und psychische Genesung: wenig Zusammenhang in FACT-Diensten gefunden</w:t>
      </w:r>
    </w:p>
    <w:p>
      <w:r>
        <w:rPr>
          <w:i/>
          <w:color w:val="666666"/>
          <w:sz w:val="18"/>
        </w:rPr>
        <w:t>Borgh M et al.  ·  Nord J Psychiatry  ·  07.09.2026  ·  PMID 42706860</w:t>
      </w:r>
    </w:p>
    <w:p>
      <w:r>
        <w:t>Beobachtungsstudie mit Sekundärdaten von 83 Personen mit komplexen psychischen Erkrankungen in schwedischen Flexible Assertive Community Treatment-Diensten; Assoziationen zwischen Teilhabe-Domänen (Arbeit, Wohnsituation, Partnerschaft, Freundschaften) und persönlicher Genesung bzw. Lebensqualität nach 12 Monaten mittels multipler linearer Regression geprüft.</w:t>
      </w:r>
    </w:p>
    <w:p>
      <w:r>
        <w:rPr>
          <w:b/>
        </w:rPr>
        <w:t xml:space="preserve">Ergebnis: </w:t>
      </w:r>
      <w:r>
        <w:t>Personen, die allein lebten, zeigten höhere Lebensqualitäts-Scores als die mit Partner oder Familie (signifikant). Keine anderen signifikanten Assoziationen gefunden. Autoren interpretieren: FACT-Modell könnte persönliche Genesung über breites Spektrum von Teilhabe-Unterschieden unterstützen; aber Ergebnis unter methodischen Einschränkungen zu interpretieren (kleine Stichprobe, begrenzte Varianz).</w:t>
      </w:r>
    </w:p>
    <w:p>
      <w:r>
        <w:rPr>
          <w:b/>
          <w:sz w:val="19"/>
        </w:rPr>
        <w:t xml:space="preserve">Übertragbarkeit: </w:t>
      </w:r>
      <w:r>
        <w:rPr>
          <w:sz w:val="19"/>
        </w:rPr>
        <w:t>Schweden, mentale Gesundheit in Gemeindesetting; Übertragbarkeit auf Deutschland begrenzt durch Systemunterschiede.</w:t>
      </w:r>
    </w:p>
    <w:p>
      <w:r>
        <w:rPr>
          <w:color w:val="5A7D3A"/>
          <w:sz w:val="18"/>
        </w:rPr>
        <w:t>https://pubmed.ncbi.nlm.nih.gov/42706860/</w:t>
      </w:r>
    </w:p>
    <w:p>
      <w:pPr>
        <w:pStyle w:val="Heading1"/>
      </w:pPr>
      <w:r>
        <w:t>Aufgenommen am 09.10.2026</w:t>
      </w:r>
    </w:p>
    <w:p>
      <w:pPr>
        <w:pStyle w:val="Heading2"/>
      </w:pPr>
      <w:r>
        <w:t>Verständliche Online-Psychoedukation für ADHS: Reichweite, Nutzung und praktischer Nutzen</w:t>
      </w:r>
    </w:p>
    <w:p>
      <w:r>
        <w:rPr>
          <w:i/>
          <w:color w:val="666666"/>
          <w:sz w:val="18"/>
        </w:rPr>
        <w:t>Lui JHL et al.  ·  Evid Based Pract Child Adolesc Ment Health  ·  02.02.2025  ·  PMID 42847838</w:t>
      </w:r>
    </w:p>
    <w:p>
      <w:r>
        <w:t>Entwicklung und Verbreitung von TOOLS, einer kostenlosen webgestützten Psychoedukation mit 11 animierten Videos zu Organisations- und Verhaltensstrategien für Jugendliche und Erwachsene mit ADHS, verfügbar in Englisch, Mandarin und Spanisch; Analyse von Nutzung und wahrgenommener Wirksamkeit.</w:t>
      </w:r>
    </w:p>
    <w:p>
      <w:r>
        <w:rPr>
          <w:b/>
        </w:rPr>
        <w:t xml:space="preserve">Ergebnis: </w:t>
      </w:r>
      <w:r>
        <w:t>Oktober 2021–Oktober 2022: 19.876 eindeutige Seitenzugriffe, 12.631 Video-Klicks, 7.807 Handout-Klicks. 128 Nutzer (Alter 40 Jahre, 85,9% weiblich) bewerteten Hilfreichtum mit Ø 3,14/4, beabsichtigte Nutzung 3,13/4, tatsächliche Nutzung nach 1 Monat 2,53/4. Positive Rückmeldungen: Verständlichkeit, Informativität, Praxisnähe, visuell ansprechend.</w:t>
      </w:r>
    </w:p>
    <w:p>
      <w:r>
        <w:rPr>
          <w:b/>
          <w:sz w:val="19"/>
        </w:rPr>
        <w:t xml:space="preserve">Übertragbarkeit: </w:t>
      </w:r>
      <w:r>
        <w:rPr>
          <w:sz w:val="19"/>
        </w:rPr>
        <w:t>Nordamerika, aber sprachunabhängig; zeigt Machbarkeit verständlicher digitaler Psychoedukation; Lesbarkeit und Engagement sind übertragbar.</w:t>
      </w:r>
    </w:p>
    <w:p>
      <w:r>
        <w:rPr>
          <w:color w:val="5A7D3A"/>
          <w:sz w:val="18"/>
        </w:rPr>
        <w:t>https://pubmed.ncbi.nlm.nih.gov/42847838/</w:t>
      </w:r>
    </w:p>
    <w:p>
      <w:pPr>
        <w:pStyle w:val="Heading2"/>
      </w:pPr>
      <w:r>
        <w:t>Health Literacy bestimmt Wirkung von Restaurant-Nährwertkennzeichnung</w:t>
      </w:r>
    </w:p>
    <w:p>
      <w:r>
        <w:rPr>
          <w:i/>
          <w:color w:val="666666"/>
          <w:sz w:val="18"/>
        </w:rPr>
        <w:t>Yu YS et al.  ·  Ann Behav Med  ·  07.01.2026  ·  PMID 42847396</w:t>
      </w:r>
    </w:p>
    <w:p>
      <w:r>
        <w:t>Online-Randomisierte Studie mit 2829 US-amerikanischen Erwachsenen, die ein von 8 Fast-Food-Menüs wählten (Variation: Kalorien-Labels ja/nein, Natrium-Stoplicht-Symbole, Werbeaussagen); Effekt auf bestellte Kalorien und Natrium nach Health Literacy untersucht.</w:t>
      </w:r>
    </w:p>
    <w:p>
      <w:r>
        <w:rPr>
          <w:b/>
        </w:rPr>
        <w:t xml:space="preserve">Ergebnis: </w:t>
      </w:r>
      <w:r>
        <w:t>Nur Teilnehmer mit moderater Health Literacy zeigten signifikante Unterschiede: 90–135 kcal weniger und 123–154 mg Natrium weniger beim Einsatz von Labels (nominal p&lt;0,05). Bei niedriger oder hoher Literacy keine signifikanten Unterschiede. Menu Labeling wirkt nicht gleichmäßig; Effektivität hängt von Fähigkeit zur Informationsinterpretation ab.</w:t>
      </w:r>
    </w:p>
    <w:p>
      <w:r>
        <w:rPr>
          <w:b/>
          <w:sz w:val="19"/>
        </w:rPr>
        <w:t xml:space="preserve">Übertragbarkeit: </w:t>
      </w:r>
      <w:r>
        <w:rPr>
          <w:sz w:val="19"/>
        </w:rPr>
        <w:t>USA, aber Befund zur Ungleichheit ist sprachunabhängig; intuitivere Labels könnten Gerechtigkeit und Effektivität von Ernährungspolitik verbessern.</w:t>
      </w:r>
    </w:p>
    <w:p>
      <w:r>
        <w:rPr>
          <w:color w:val="5A7D3A"/>
          <w:sz w:val="18"/>
        </w:rPr>
        <w:t>https://pubmed.ncbi.nlm.nih.gov/42847396/</w:t>
      </w:r>
    </w:p>
    <w:p>
      <w:pPr>
        <w:pStyle w:val="Heading2"/>
      </w:pPr>
      <w:r>
        <w:t>Strukturierte Psychoedukation verbessert Empowerment bei schweren psychischen Erkrankungen</w:t>
      </w:r>
    </w:p>
    <w:p>
      <w:r>
        <w:rPr>
          <w:i/>
          <w:color w:val="666666"/>
          <w:sz w:val="18"/>
        </w:rPr>
        <w:t>Veltro F et al.  ·  Riv Psichiatr  ·  Sept. 2026  ·  PMID 42847035</w:t>
      </w:r>
    </w:p>
    <w:p>
      <w:r>
        <w:t>Randomisierte Studie an 60 Patienten mit schweren psychischen Erkrankungen (davon 59 ausgewertet), die eine strukturierte Psychoeducational Intervention (FM&amp;R-GR) erhielten, versus Kontrollgruppe mit weniger strukturiertem Manual über 12 Monate.</w:t>
      </w:r>
    </w:p>
    <w:p>
      <w:r>
        <w:rPr>
          <w:b/>
        </w:rPr>
        <w:t xml:space="preserve">Ergebnis: </w:t>
      </w:r>
      <w:r>
        <w:t>Empowerment (NEL-Score), Distress und psychosoziale Funktionsfähigkeit (PSPS) zeigten statistisch signifikante Verbesserungen (p&lt;0,001 bzw. p&lt;0,05). In der Interventionsgruppe 56,3% (27/48), in der Kontrollgruppe 43,75% (21/48) schlossen ab. Strukturierte Psychoedukation wirkt messbar auf primäre Zielgrößen.</w:t>
      </w:r>
    </w:p>
    <w:p>
      <w:r>
        <w:rPr>
          <w:b/>
          <w:sz w:val="19"/>
        </w:rPr>
        <w:t xml:space="preserve">Übertragbarkeit: </w:t>
      </w:r>
      <w:r>
        <w:rPr>
          <w:sz w:val="19"/>
        </w:rPr>
        <w:t>Italien, vergleichbares EU-Gesundheitssystem; Übertragbarkeit auf spezialisierte psychosoziale Versorgung in Deutschland gegeben.</w:t>
      </w:r>
    </w:p>
    <w:p>
      <w:r>
        <w:rPr>
          <w:color w:val="5A7D3A"/>
          <w:sz w:val="18"/>
        </w:rPr>
        <w:t>https://pubmed.ncbi.nlm.nih.gov/42847035/</w:t>
      </w:r>
    </w:p>
    <w:p>
      <w:pPr>
        <w:pStyle w:val="Heading2"/>
      </w:pPr>
      <w:r>
        <w:t>Medikamentenkompetenz bei älteren Patienten mit Herzkrankheit und Diabetes</w:t>
      </w:r>
    </w:p>
    <w:p>
      <w:r>
        <w:rPr>
          <w:i/>
          <w:color w:val="666666"/>
          <w:sz w:val="18"/>
        </w:rPr>
        <w:t>Pan X et al.  ·  Front Public Health  ·  23.09.2026  ·  PMID 42846411</w:t>
      </w:r>
    </w:p>
    <w:p>
      <w:r>
        <w:t>Querschnittstudie an 254 hospitalisierten Patienten mittleren Alters und älter mit koexistierender koronarer Herzkrankheit und Typ-2-Diabetes in einer Klinik in Chongqing, China; Messung von Medikamentenkompetenz und assoziierten Faktoren.</w:t>
      </w:r>
    </w:p>
    <w:p>
      <w:r>
        <w:rPr>
          <w:b/>
        </w:rPr>
        <w:t xml:space="preserve">Ergebnis: </w:t>
      </w:r>
      <w:r>
        <w:t>Mittlerer Medikamentenkompetenz-Score 74,05±12,23. Hierarchische Regression zeigte signifikante Assoziationen mit: Beteiligung an Medikationsentscheidungen, soziale Unterstützung, Bildungsniveau, Selbstwirksamkeit, Wohnort und Fähigkeit, Beipackzettel zu verstehen (alle p&lt;0,05). Medikamentenkompetenz hat Verbesserungspotential und hängt von individuellen, sozialen und Versorgungsfaktoren ab.</w:t>
      </w:r>
    </w:p>
    <w:p>
      <w:r>
        <w:rPr>
          <w:b/>
          <w:sz w:val="19"/>
        </w:rPr>
        <w:t xml:space="preserve">Übertragbarkeit: </w:t>
      </w:r>
      <w:r>
        <w:rPr>
          <w:sz w:val="19"/>
        </w:rPr>
        <w:t>China, ähnliche chronische Krankheitslast; Befund zur Bedeutung von Shared Decision Making und Sozialunterstützung generalisierbar.</w:t>
      </w:r>
    </w:p>
    <w:p>
      <w:r>
        <w:rPr>
          <w:color w:val="5A7D3A"/>
          <w:sz w:val="18"/>
        </w:rPr>
        <w:t>https://pubmed.ncbi.nlm.nih.gov/42846411/</w:t>
      </w:r>
    </w:p>
    <w:p>
      <w:pPr>
        <w:pStyle w:val="Heading2"/>
      </w:pPr>
      <w:r>
        <w:t>Patientenbeteiligung in der Intensivmedizin: Wie sinnvoll ist die Mitwirkung wirklich?</w:t>
      </w:r>
    </w:p>
    <w:p>
      <w:r>
        <w:rPr>
          <w:i/>
          <w:color w:val="666666"/>
          <w:sz w:val="18"/>
        </w:rPr>
        <w:t>Collet MO et al.  ·  Nurs Crit Care  ·  Nov. 2026  ·  PMID 42844890</w:t>
      </w:r>
    </w:p>
    <w:p>
      <w:r>
        <w:t>Befragung von 37 Teilnehmern (80,4% Rücklauf) an dänischen Forschungsgremien zur Entwicklung von Kernergebnisindikatoren für Intensivpatienten, um Qualität der Patientenbeteiligung (PEIRS-22-Skala) zu messen.</w:t>
      </w:r>
    </w:p>
    <w:p>
      <w:r>
        <w:rPr>
          <w:b/>
        </w:rPr>
        <w:t xml:space="preserve">Ergebnis: </w:t>
      </w:r>
      <w:r>
        <w:t>Median-Score 78 (Spanne 68–93), 72% erreichten Wert ≥70,1 für sinnvolle Beteiligung. Unterschiede nach Rolle signifikant (p=0,004): Forscher 97, Patienten/Angehörige 89, klinisches Personal 74. Beteiligung insgesamt sinnvoll, aber Unterschiede zwischen Stakeholdern und Defizite in Entscheidungsmitsprache.</w:t>
      </w:r>
    </w:p>
    <w:p>
      <w:r>
        <w:rPr>
          <w:b/>
          <w:sz w:val="19"/>
        </w:rPr>
        <w:t xml:space="preserve">Übertragbarkeit: </w:t>
      </w:r>
      <w:r>
        <w:rPr>
          <w:sz w:val="19"/>
        </w:rPr>
        <w:t>Dänemark, nordisches Versicherungssystem; zeigt Messbares für Verbesserung von Shared Decision Making in der Intensivforschung.</w:t>
      </w:r>
    </w:p>
    <w:p>
      <w:r>
        <w:rPr>
          <w:color w:val="5A7D3A"/>
          <w:sz w:val="18"/>
        </w:rPr>
        <w:t>https://pubmed.ncbi.nlm.nih.gov/42844890/</w:t>
      </w:r>
    </w:p>
    <w:p>
      <w:pPr>
        <w:pStyle w:val="Heading2"/>
      </w:pPr>
      <w:r>
        <w:t>Patientenbeteiligung in klinischen Audits: ein pragmatisches Organisationsmodell</w:t>
      </w:r>
    </w:p>
    <w:p>
      <w:r>
        <w:rPr>
          <w:i/>
          <w:color w:val="666666"/>
          <w:sz w:val="18"/>
        </w:rPr>
        <w:t>El Hadidi S et al.  ·  Health Policy  ·  23.09.2026  ·  PMID 42810162</w:t>
      </w:r>
    </w:p>
    <w:p>
      <w:r>
        <w:t>Dokumentenanalyse von 23 öffentlichen Dokumenten der irischen National Office of Clinical Audit (NOCA, 2012–2025) zu Struktur und Operationalisierung von Patientenbeteiligung in nationalen Audits.</w:t>
      </w:r>
    </w:p>
    <w:p>
      <w:r>
        <w:rPr>
          <w:b/>
        </w:rPr>
        <w:t xml:space="preserve">Ergebnis: </w:t>
      </w:r>
      <w:r>
        <w:t>Vier Implementierungsmechanismen identifiziert: Governance-Integration, Portfolio-Koordination, Co-Produktion von Öffentlichkeitsmaterialien und institutionelle Unterstützungsstrukturen. NOCA zeigt, wie Patientenbeteiligung in nationale Audit-Infrastruktur als dauerhafte Governance- und Rechenschaftsfunktion eingebaut werden kann.</w:t>
      </w:r>
    </w:p>
    <w:p>
      <w:r>
        <w:rPr>
          <w:b/>
          <w:sz w:val="19"/>
        </w:rPr>
        <w:t xml:space="preserve">Übertragbarkeit: </w:t>
      </w:r>
      <w:r>
        <w:rPr>
          <w:sz w:val="19"/>
        </w:rPr>
        <w:t>Irland, vergleichbare europäische Audit-Struktur; übertragbares Modell für dezentrale deutsche Qualitätssicherungssysteme.</w:t>
      </w:r>
    </w:p>
    <w:p>
      <w:r>
        <w:rPr>
          <w:color w:val="5A7D3A"/>
          <w:sz w:val="18"/>
        </w:rPr>
        <w:t>https://pubmed.ncbi.nlm.nih.gov/42810162/</w:t>
      </w:r>
    </w:p>
    <w:p>
      <w:pPr>
        <w:pStyle w:val="Heading1"/>
      </w:pPr>
      <w:r>
        <w:t>Aufgenommen am 08.10.2026</w:t>
      </w:r>
    </w:p>
    <w:p>
      <w:pPr>
        <w:pStyle w:val="Heading2"/>
      </w:pPr>
      <w:r>
        <w:t>Chatbot verbessert Krebsrisiko-Verständnis bei jungen Patienten mit genetischer Disposition</w:t>
      </w:r>
    </w:p>
    <w:p>
      <w:r>
        <w:rPr>
          <w:i/>
          <w:color w:val="666666"/>
          <w:sz w:val="18"/>
        </w:rPr>
        <w:t>Kamihara J et al.  ·  JAMA Netw Open  ·  01.10.2026  ·  PMID 42842248</w:t>
      </w:r>
    </w:p>
    <w:p>
      <w:r>
        <w:t>Randomisierte Studie mit 106 Jugendlichen und jungen Erwachsenen (12-24 Jahre) mit hereditären Krebssyndromen, die entweder eine Klinikberatung allein oder mit zusätzlicher chatbot-gestützter Risikokommunikation erhielten.</w:t>
      </w:r>
    </w:p>
    <w:p>
      <w:r>
        <w:rPr>
          <w:b/>
        </w:rPr>
        <w:t xml:space="preserve">Ergebnis: </w:t>
      </w:r>
      <w:r>
        <w:t>Nach der Intervention hatten 78% (42/54) der Chatbot-Gruppe gegenüber 37% (19/52) der Kontrollgruppe genaue Kenntnisse über Krebsrisiko bis Alter 30 (OR 3,50, p=0,005). Verbessertes Verständnis ohne Anstieg psychischer Belastung.</w:t>
      </w:r>
    </w:p>
    <w:p>
      <w:r>
        <w:rPr>
          <w:b/>
          <w:sz w:val="19"/>
        </w:rPr>
        <w:t xml:space="preserve">Übertragbarkeit: </w:t>
      </w:r>
      <w:r>
        <w:rPr>
          <w:sz w:val="19"/>
        </w:rPr>
        <w:t>USA-Studie, aber Befund zur verständlichkeitssteigernden Wirkung personalisierter digitaler Information ist systemunabhängig.</w:t>
      </w:r>
    </w:p>
    <w:p>
      <w:r>
        <w:rPr>
          <w:color w:val="5A7D3A"/>
          <w:sz w:val="18"/>
        </w:rPr>
        <w:t>https://pubmed.ncbi.nlm.nih.gov/42842248/</w:t>
      </w:r>
    </w:p>
    <w:p>
      <w:pPr>
        <w:pStyle w:val="Heading2"/>
      </w:pPr>
      <w:r>
        <w:t>Teach-Back-Methode als Basis für sichere und gleichberechtigte Patientenkommunikation</w:t>
      </w:r>
    </w:p>
    <w:p>
      <w:r>
        <w:rPr>
          <w:i/>
          <w:color w:val="666666"/>
          <w:sz w:val="18"/>
        </w:rPr>
        <w:t>Sisodia A  ·  Am J Manag Care  ·  01.09.2026  ·  PMID 42842209</w:t>
      </w:r>
    </w:p>
    <w:p>
      <w:r>
        <w:t>Policy-Kommentar, der Teach-Back als Equity-Infrastruktur zur Verifikation von Patientenverständnis begründet und für dessen systematische Implementierung plädiert.</w:t>
      </w:r>
    </w:p>
    <w:p>
      <w:r>
        <w:rPr>
          <w:b/>
        </w:rPr>
        <w:t xml:space="preserve">Ergebnis: </w:t>
      </w:r>
      <w:r>
        <w:t>Teach-Back wird als praktisches Verfahren zur Fehlervermeidung bei Discharge, Medikamentenwechsel und Einwilligung vorgestellt. Begriffsrahmen der "last-mile equity gap" zwischen abgeschlossener Konsultation und tatsächlichem Patientenverständnis.</w:t>
      </w:r>
    </w:p>
    <w:p>
      <w:r>
        <w:rPr>
          <w:b/>
          <w:sz w:val="19"/>
        </w:rPr>
        <w:t xml:space="preserve">Übertragbarkeit: </w:t>
      </w:r>
      <w:r>
        <w:rPr>
          <w:sz w:val="19"/>
        </w:rPr>
        <w:t>Konzeptionelle Arbeit, sprachenunabhängig und auf alle Versorgungssysteme übertragbar.</w:t>
      </w:r>
    </w:p>
    <w:p>
      <w:r>
        <w:rPr>
          <w:color w:val="5A7D3A"/>
          <w:sz w:val="18"/>
        </w:rPr>
        <w:t>https://pubmed.ncbi.nlm.nih.gov/42842209/</w:t>
      </w:r>
    </w:p>
    <w:p>
      <w:pPr>
        <w:pStyle w:val="Heading2"/>
      </w:pPr>
      <w:r>
        <w:t>Strukturelle und kulturelle Hürden für Patientenbeteiligung in Seltene-Erkrankungen-Forschung</w:t>
      </w:r>
    </w:p>
    <w:p>
      <w:r>
        <w:rPr>
          <w:i/>
          <w:color w:val="666666"/>
          <w:sz w:val="18"/>
        </w:rPr>
        <w:t>Bancroft D et al.  ·  Mol Genet Genomic Med  ·  Okt. 2026  ·  PMID 42834739</w:t>
      </w:r>
    </w:p>
    <w:p>
      <w:r>
        <w:t>Narrative Übersicht mit Reflexionen aus Patienten-, Forscher- und Funder-Perspektive zu Barrieren für Patient- und Public-Involvement-and-Engagement (PPIE) in akademischer Forschung, besonders in Seltene-Erkrankungen-Kontexten.</w:t>
      </w:r>
    </w:p>
    <w:p>
      <w:r>
        <w:rPr>
          <w:b/>
        </w:rPr>
        <w:t xml:space="preserve">Ergebnis: </w:t>
      </w:r>
      <w:r>
        <w:t>Identifizierte strukturelle Barrieren: unzureichende Ressourcenausstattung, begrenzte Zeitrahmen, mangelnde Schulung, kulturelle Widerstände gegen Patientenbeteiligung. Empfehlungen: institutionelle Verankerung von PPIE, kontinuierliche Finanzierung, klare Rollen und Verantwortlichkeiten, Schulung aller Beteiligten, regelmäßige Evaluation.</w:t>
      </w:r>
    </w:p>
    <w:p>
      <w:r>
        <w:rPr>
          <w:b/>
          <w:sz w:val="19"/>
        </w:rPr>
        <w:t xml:space="preserve">Übertragbarkeit: </w:t>
      </w:r>
      <w:r>
        <w:rPr>
          <w:sz w:val="19"/>
        </w:rPr>
        <w:t>UK-Perspektive, aber PPIE-Strukturfragen und Empfehlungen sind auf deutsches akademisches System übertragbar.</w:t>
      </w:r>
    </w:p>
    <w:p>
      <w:r>
        <w:rPr>
          <w:color w:val="5A7D3A"/>
          <w:sz w:val="18"/>
        </w:rPr>
        <w:t>https://pubmed.ncbi.nlm.nih.gov/42834739/</w:t>
      </w:r>
    </w:p>
    <w:p>
      <w:pPr>
        <w:pStyle w:val="Heading2"/>
      </w:pPr>
      <w:r>
        <w:t>ChatGPT liefert verlässliche Patienteninformation zu Hüft- und Knieendoprothetik</w:t>
      </w:r>
    </w:p>
    <w:p>
      <w:r>
        <w:rPr>
          <w:i/>
          <w:color w:val="666666"/>
          <w:sz w:val="18"/>
        </w:rPr>
        <w:t>Deschênes-Bilodeau J et al.  ·  Can J Surg  ·  29.09.2026  ·  PMID 42810739</w:t>
      </w:r>
    </w:p>
    <w:p>
      <w:r>
        <w:t>Vergleichende Studie mit fünf häufig gegoogelten Fragen zu Gelenkersatz, beantwortet durch ChatGPT 4.0 und orthopädische Fachpersonen (Chirurgen, Fellows, Assistenzärzte), anonym durch einen unabhängigen Chirurgen bewertet.</w:t>
      </w:r>
    </w:p>
    <w:p>
      <w:r>
        <w:rPr>
          <w:b/>
        </w:rPr>
        <w:t xml:space="preserve">Ergebnis: </w:t>
      </w:r>
      <w:r>
        <w:t>Menschliche Antworten: Genauigkeit im Mittel 75% (SD 17%), Vollständigkeit 69% (SD 22%). ChatGPT: Genauigkeit 93% (SD 12%), Vollständigkeit 93% (SD 14%). Fellowship-Träger waren beste Fachgruppe mit 75% Antworten ≥5/6 für Genauigkeit (Mittel 82%, SD 16%).</w:t>
      </w:r>
    </w:p>
    <w:p>
      <w:r>
        <w:rPr>
          <w:b/>
          <w:sz w:val="19"/>
        </w:rPr>
        <w:t xml:space="preserve">Übertragbarkeit: </w:t>
      </w:r>
      <w:r>
        <w:rPr>
          <w:sz w:val="19"/>
        </w:rPr>
        <w:t>Kanada, vergleichbares Versicherungssystem; Befund zur Informationsqualität digitaler Tools ist übertragbar.</w:t>
      </w:r>
    </w:p>
    <w:p>
      <w:r>
        <w:rPr>
          <w:color w:val="5A7D3A"/>
          <w:sz w:val="18"/>
        </w:rPr>
        <w:t>https://pubmed.ncbi.nlm.nih.gov/42810739/</w:t>
      </w:r>
    </w:p>
    <w:p>
      <w:pPr>
        <w:pStyle w:val="Heading2"/>
      </w:pPr>
      <w:r>
        <w:t>Erkennung der Herzinsuffizienz-Diagnose bei älteren Patienten: Einfluss auf Versorgungsergebnisse</w:t>
      </w:r>
    </w:p>
    <w:p>
      <w:r>
        <w:rPr>
          <w:i/>
          <w:color w:val="666666"/>
          <w:sz w:val="18"/>
        </w:rPr>
        <w:t>Tasaka T et al.  ·  Geriatr Gerontol Int  ·  Okt. 2026  ·  PMID 42802039</w:t>
      </w:r>
    </w:p>
    <w:p>
      <w:r>
        <w:t>Kohortenstudie mit 188 hospitalisierten Herzinsuffizienz-Patienten (Median 81 Jahre) aus Japan, die Diagnose-Erkennung vor Entlassung abfragten und Assoziationen mit Mortalität und Rehospitalisierungen prüften.</w:t>
      </w:r>
    </w:p>
    <w:p>
      <w:r>
        <w:rPr>
          <w:b/>
        </w:rPr>
        <w:t xml:space="preserve">Ergebnis: </w:t>
      </w:r>
      <w:r>
        <w:t>38% (72/188) erkannten ihre Primärdiagnose nicht; diese Gruppe hatte signifikant niedrigere kommunikative und kritische Health-Literacy-Scores (p&lt;0,01). Nach Adjustment für Alter, kognitive Funktion und HI-Schweregrad war fehlende Diagnose-Erkennung kein unabhängiger Prognosefaktor (Median Follow-up 280 Tage, 40% Ereignisse).</w:t>
      </w:r>
    </w:p>
    <w:p>
      <w:r>
        <w:rPr>
          <w:b/>
          <w:sz w:val="19"/>
        </w:rPr>
        <w:t xml:space="preserve">Übertragbarkeit: </w:t>
      </w:r>
      <w:r>
        <w:rPr>
          <w:sz w:val="19"/>
        </w:rPr>
        <w:t>Japan, aber Messprinzip und Patientenalter übertragbar auf deutsches Versorgungssetting.</w:t>
      </w:r>
    </w:p>
    <w:p>
      <w:r>
        <w:rPr>
          <w:color w:val="5A7D3A"/>
          <w:sz w:val="18"/>
        </w:rPr>
        <w:t>https://pubmed.ncbi.nlm.nih.gov/42802039/</w:t>
      </w:r>
    </w:p>
    <w:p>
      <w:pPr>
        <w:pStyle w:val="Heading2"/>
      </w:pPr>
      <w:r>
        <w:t>Unterschiedliche Qualität von Patienteninformation zu Spinalkanalstenose auf YouTube, TikTok und Bilibili</w:t>
      </w:r>
    </w:p>
    <w:p>
      <w:r>
        <w:rPr>
          <w:i/>
          <w:color w:val="666666"/>
          <w:sz w:val="18"/>
        </w:rPr>
        <w:t>Guo R et al.  ·  Medicine (Baltimore)  ·  25.09.2026  ·  PMID 42798124</w:t>
      </w:r>
    </w:p>
    <w:p>
      <w:r>
        <w:t>Querschnittsanalyse von 253 Videos (89 YouTube, 80 Bilibili, 84 TikTok) zu Lumbalstenose vom 1.2.2026, bewertet nach Zuverlässigkeit, Gesamtqualität, Verständlichkeit, Handlungsfähigkeit und audiovisueller Qualität.</w:t>
      </w:r>
    </w:p>
    <w:p>
      <w:r>
        <w:rPr>
          <w:b/>
        </w:rPr>
        <w:t xml:space="preserve">Ergebnis: </w:t>
      </w:r>
      <w:r>
        <w:t>YouTube-Videos: höhere modifizierte DISCERN- und Global-Quality-Scores, mehr Abdeckung von Ätiologie und Prävention, überwiegend von Kliniken/verifizierten Ärzten. TikTok: kürzeste Videos (103 Sek Median), höchste Physician-Verifikation, beste Audience-Engagement. Bilibili: keine klaren Vorteile. Hohe Engagement korrelierte nicht mit medizinischer Zuverlässigkeit.</w:t>
      </w:r>
    </w:p>
    <w:p>
      <w:r>
        <w:rPr>
          <w:b/>
          <w:sz w:val="19"/>
        </w:rPr>
        <w:t xml:space="preserve">Übertragbarkeit: </w:t>
      </w:r>
      <w:r>
        <w:rPr>
          <w:sz w:val="19"/>
        </w:rPr>
        <w:t>China/Asien, aber Befund zu Plattform-Qualitätsunterschieden und Engagement-Paradox relevant für deutsches Patientenverhalten.</w:t>
      </w:r>
    </w:p>
    <w:p>
      <w:r>
        <w:rPr>
          <w:color w:val="5A7D3A"/>
          <w:sz w:val="18"/>
        </w:rPr>
        <w:t>https://pubmed.ncbi.nlm.nih.gov/42798124/</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Gesundheitskompetenz bei älteren Patienten mit Herz-Kreislauf-Erkrankungen: Latente Profilanalyse</w:t>
      </w:r>
    </w:p>
    <w:p>
      <w:r>
        <w:rPr>
          <w:i/>
          <w:color w:val="666666"/>
          <w:sz w:val="18"/>
        </w:rPr>
        <w:t>Xu M et al.  ·  Front Public Health  ·  27.08.2026  ·  PMID 42723856</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https://pubmed.ncbi.nlm.nih.gov/42723856/</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dc:title>
  <dc:subject/>
  <dc:creator>Monitor Versorgungsforschung</dc:creator>
  <cp:keywords/>
  <dc:description>generated by python-docx</dc:description>
  <cp:lastModifiedBy/>
  <cp:revision>1</cp:revision>
  <dcterms:created xsi:type="dcterms:W3CDTF">2026-10-30T06:00:00Z</dcterms:created>
  <dcterms:modified xsi:type="dcterms:W3CDTF">2026-10-30T06:00:00Z</dcterms:modified>
  <cp:category/>
</cp:coreProperties>
</file>